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B034A" w14:textId="77777777" w:rsidR="001D3D42" w:rsidRDefault="001D3D42">
      <w:pPr>
        <w:jc w:val="center"/>
        <w:rPr>
          <w:kern w:val="2"/>
          <w:lang w:val="en-GB" w:eastAsia="en-GB"/>
          <w14:ligatures w14:val="standardContextual"/>
        </w:rPr>
      </w:pPr>
      <w:r>
        <w:rPr>
          <w:rFonts w:ascii="Calibri" w:hAnsi="Calibri" w:cs="Calibri"/>
          <w:b/>
          <w:bCs/>
          <w:sz w:val="44"/>
          <w:szCs w:val="44"/>
        </w:rPr>
        <w:t>Post-16 Designated Teacher / Lead Professional Audit Tool – CLA, CWSW, PLAC &amp; Kinship</w:t>
      </w:r>
    </w:p>
    <w:p w14:paraId="2626ED35" w14:textId="77777777" w:rsidR="001D3D42" w:rsidRDefault="001D3D42">
      <w:pPr>
        <w:jc w:val="center"/>
        <w:rPr>
          <w:kern w:val="2"/>
          <w:lang w:val="en-GB" w:eastAsia="en-GB"/>
          <w14:ligatures w14:val="standardContextual"/>
        </w:rPr>
      </w:pPr>
      <w:r>
        <w:rPr>
          <w:rFonts w:ascii="Calibri" w:hAnsi="Calibri" w:cs="Calibri"/>
          <w:b/>
          <w:bCs/>
          <w:sz w:val="44"/>
          <w:szCs w:val="44"/>
        </w:rPr>
        <w:t>Post-16 Settings – Self-Evaluation and Engagement Tool</w:t>
      </w:r>
    </w:p>
    <w:p w14:paraId="68F96BE9" w14:textId="77777777" w:rsidR="00576389" w:rsidRPr="0012137E" w:rsidRDefault="007F600D" w:rsidP="003B2119">
      <w:pPr>
        <w:pStyle w:val="Heading2"/>
        <w:jc w:val="both"/>
        <w:rPr>
          <w:rFonts w:cstheme="majorHAnsi"/>
          <w:color w:val="auto"/>
        </w:rPr>
      </w:pPr>
      <w:r w:rsidRPr="0012137E">
        <w:rPr>
          <w:rFonts w:cstheme="majorHAnsi"/>
          <w:color w:val="auto"/>
        </w:rPr>
        <w:t>Purpose</w:t>
      </w:r>
    </w:p>
    <w:p w14:paraId="17931F6E" w14:textId="77777777" w:rsidR="001D3D42" w:rsidRDefault="001D3D42">
      <w:pPr>
        <w:spacing w:after="120"/>
        <w:jc w:val="both"/>
        <w:rPr>
          <w:kern w:val="2"/>
          <w:lang w:val="en-GB" w:eastAsia="en-GB"/>
          <w14:ligatures w14:val="standardContextual"/>
        </w:rPr>
      </w:pPr>
      <w:r>
        <w:rPr>
          <w:rFonts w:ascii="Calibri" w:hAnsi="Calibri" w:cs="Calibri"/>
        </w:rPr>
        <w:t>This audit supports post-16 setting leaders, Designated Teachers and lead professionals to self-evaluate leadership, provision and outcomes for looked-after young people (CLA), young people with a social worker (CWSW), previously looked-after young people (PLAC), and those in kinship care. We group these learners together and call them 'Virtual School learners'. It aligns with relevant post-16 accountability expectations and guidance on progression for learners with learning difficulties and/or disabilities, alongside DfE statutory guidance for Designated Teachers and guidance on promoting the education of looked-after and previously looked-after children. Use it to evidence how Virtual School learners are supported to access ambitious pathways, remain engaged, develop independence, progress to further learning, employment or training, and achieve positive destinations.</w:t>
      </w:r>
    </w:p>
    <w:p w14:paraId="3D03124F" w14:textId="77777777" w:rsidR="001D3D42" w:rsidRDefault="001D3D42">
      <w:pPr>
        <w:jc w:val="both"/>
        <w:rPr>
          <w:kern w:val="2"/>
          <w:lang w:val="en-GB" w:eastAsia="en-GB"/>
          <w14:ligatures w14:val="standardContextual"/>
        </w:rPr>
      </w:pPr>
      <w:r>
        <w:rPr>
          <w:rFonts w:ascii="Calibri" w:hAnsi="Calibri" w:cs="Calibri"/>
          <w:shd w:val="clear" w:color="auto" w:fill="FFFF00"/>
        </w:rPr>
        <w:t>This is not compulsory. It is a way for post-16 settings to review current practice, identify next steps and provide evidence of self-evaluation for quality assurance, inspection activity and governor or board assurance.</w:t>
      </w:r>
    </w:p>
    <w:p w14:paraId="7A98D8DC" w14:textId="77777777" w:rsidR="00576389" w:rsidRDefault="007F600D" w:rsidP="003B2119">
      <w:pPr>
        <w:pStyle w:val="Heading2"/>
        <w:jc w:val="both"/>
        <w:rPr>
          <w:rFonts w:cstheme="majorHAnsi"/>
          <w:color w:val="auto"/>
        </w:rPr>
      </w:pPr>
      <w:r w:rsidRPr="0012137E">
        <w:rPr>
          <w:rFonts w:cstheme="majorHAnsi"/>
          <w:color w:val="auto"/>
        </w:rPr>
        <w:t>How to use</w:t>
      </w:r>
    </w:p>
    <w:p w14:paraId="54C45812" w14:textId="77777777" w:rsidR="00576389" w:rsidRPr="0012137E" w:rsidRDefault="007F600D" w:rsidP="003B2119">
      <w:pPr>
        <w:pStyle w:val="ListNumber"/>
        <w:spacing w:after="40"/>
        <w:jc w:val="both"/>
        <w:rPr>
          <w:rFonts w:asciiTheme="majorHAnsi" w:hAnsiTheme="majorHAnsi" w:cstheme="majorHAnsi"/>
        </w:rPr>
      </w:pPr>
      <w:r w:rsidRPr="0012137E">
        <w:rPr>
          <w:rFonts w:asciiTheme="majorHAnsi" w:hAnsiTheme="majorHAnsi" w:cstheme="majorHAnsi"/>
        </w:rPr>
        <w:t>For each domain, review descriptors across three practice levels and highlight your current position.</w:t>
      </w:r>
    </w:p>
    <w:p w14:paraId="0B7396F7" w14:textId="662CAC70" w:rsidR="00576389" w:rsidRPr="0012137E" w:rsidRDefault="00167BFA" w:rsidP="003B2119">
      <w:pPr>
        <w:pStyle w:val="ListNumber"/>
        <w:spacing w:after="40"/>
        <w:jc w:val="both"/>
        <w:rPr>
          <w:rFonts w:asciiTheme="majorHAnsi" w:hAnsiTheme="majorHAnsi" w:cstheme="majorHAnsi"/>
        </w:rPr>
      </w:pPr>
      <w:r w:rsidRPr="0012137E">
        <w:rPr>
          <w:rFonts w:asciiTheme="majorHAnsi" w:hAnsiTheme="majorHAnsi" w:cstheme="majorHAnsi"/>
        </w:rPr>
        <w:t>Consider the evidence you have (documents, data views, case samples) and consider impact.</w:t>
      </w:r>
      <w:r w:rsidR="00153FF5" w:rsidRPr="0012137E">
        <w:rPr>
          <w:rFonts w:asciiTheme="majorHAnsi" w:hAnsiTheme="majorHAnsi" w:cstheme="majorHAnsi"/>
        </w:rPr>
        <w:t xml:space="preserve"> Use the comments box to record your thoughts if needed.</w:t>
      </w:r>
    </w:p>
    <w:p w14:paraId="6C732ED6" w14:textId="77777777" w:rsidR="00576389" w:rsidRPr="0012137E" w:rsidRDefault="007F600D" w:rsidP="003B2119">
      <w:pPr>
        <w:pStyle w:val="ListNumber"/>
        <w:spacing w:after="40"/>
        <w:jc w:val="both"/>
        <w:rPr>
          <w:rFonts w:asciiTheme="majorHAnsi" w:hAnsiTheme="majorHAnsi" w:cstheme="majorHAnsi"/>
        </w:rPr>
      </w:pPr>
      <w:r w:rsidRPr="0012137E">
        <w:rPr>
          <w:rFonts w:asciiTheme="majorHAnsi" w:hAnsiTheme="majorHAnsi" w:cstheme="majorHAnsi"/>
        </w:rPr>
        <w:t>Identify priority actions with owners, timescales and success measures.</w:t>
      </w:r>
    </w:p>
    <w:p w14:paraId="60ED5FED" w14:textId="5E5154C9" w:rsidR="00793301" w:rsidRDefault="00793301" w:rsidP="00793301">
      <w:pPr>
        <w:pStyle w:val="ListNumber"/>
        <w:rPr>
          <w:rFonts w:asciiTheme="majorHAnsi" w:hAnsiTheme="majorHAnsi" w:cstheme="majorHAnsi"/>
        </w:rPr>
      </w:pPr>
      <w:r w:rsidRPr="00A16ACF">
        <w:rPr>
          <w:rFonts w:asciiTheme="majorHAnsi" w:hAnsiTheme="majorHAnsi" w:cstheme="majorHAnsi"/>
        </w:rPr>
        <w:t>Use the Inclusion domain, APDR grid</w:t>
      </w:r>
      <w:r w:rsidR="00F8633A">
        <w:rPr>
          <w:rFonts w:asciiTheme="majorHAnsi" w:hAnsiTheme="majorHAnsi" w:cstheme="majorHAnsi"/>
        </w:rPr>
        <w:t xml:space="preserve"> </w:t>
      </w:r>
      <w:r w:rsidR="00206974">
        <w:rPr>
          <w:rFonts w:asciiTheme="majorHAnsi" w:hAnsiTheme="majorHAnsi" w:cstheme="majorHAnsi"/>
        </w:rPr>
        <w:t>(</w:t>
      </w:r>
      <w:r w:rsidR="00206974" w:rsidRPr="00206974">
        <w:rPr>
          <w:rFonts w:asciiTheme="majorHAnsi" w:hAnsiTheme="majorHAnsi" w:cstheme="majorHAnsi"/>
        </w:rPr>
        <w:t>Assess, Plan, Do, Review</w:t>
      </w:r>
      <w:r w:rsidR="00206974">
        <w:rPr>
          <w:rFonts w:asciiTheme="majorHAnsi" w:hAnsiTheme="majorHAnsi" w:cstheme="majorHAnsi"/>
        </w:rPr>
        <w:t>)</w:t>
      </w:r>
      <w:r w:rsidRPr="00A16ACF">
        <w:rPr>
          <w:rFonts w:asciiTheme="majorHAnsi" w:hAnsiTheme="majorHAnsi" w:cstheme="majorHAnsi"/>
        </w:rPr>
        <w:t xml:space="preserve"> and case-sampling log to evidence a typical picture of provision, </w:t>
      </w:r>
      <w:proofErr w:type="gramStart"/>
      <w:r w:rsidRPr="00A16ACF">
        <w:rPr>
          <w:rFonts w:asciiTheme="majorHAnsi" w:hAnsiTheme="majorHAnsi" w:cstheme="majorHAnsi"/>
        </w:rPr>
        <w:t>triangulating</w:t>
      </w:r>
      <w:proofErr w:type="gramEnd"/>
      <w:r w:rsidRPr="00A16ACF">
        <w:rPr>
          <w:rFonts w:asciiTheme="majorHAnsi" w:hAnsiTheme="majorHAnsi" w:cstheme="majorHAnsi"/>
        </w:rPr>
        <w:t xml:space="preserve"> documents with professional conversations, pupil/carer voice, day-to-day practice, learning evidence and impact.</w:t>
      </w:r>
    </w:p>
    <w:p w14:paraId="2CE19BFE" w14:textId="77777777" w:rsidR="00E61B60" w:rsidRDefault="00E61B60" w:rsidP="00E61B60">
      <w:pPr>
        <w:pStyle w:val="ListNumber"/>
        <w:numPr>
          <w:ilvl w:val="0"/>
          <w:numId w:val="0"/>
        </w:numPr>
        <w:ind w:left="360" w:hanging="360"/>
        <w:rPr>
          <w:rFonts w:asciiTheme="majorHAnsi" w:hAnsiTheme="majorHAnsi" w:cstheme="majorHAnsi"/>
        </w:rPr>
      </w:pPr>
    </w:p>
    <w:p w14:paraId="79180AA8" w14:textId="77777777" w:rsidR="00E61B60" w:rsidRDefault="00E61B60" w:rsidP="00E61B60">
      <w:pPr>
        <w:pStyle w:val="ListNumber"/>
        <w:numPr>
          <w:ilvl w:val="0"/>
          <w:numId w:val="0"/>
        </w:numPr>
        <w:ind w:left="360" w:hanging="360"/>
        <w:rPr>
          <w:rFonts w:asciiTheme="majorHAnsi" w:hAnsiTheme="majorHAnsi" w:cstheme="majorHAnsi"/>
        </w:rPr>
      </w:pPr>
    </w:p>
    <w:p w14:paraId="6C5CBD1C" w14:textId="77777777" w:rsidR="00E61B60" w:rsidRDefault="00E61B60" w:rsidP="00E61B60">
      <w:pPr>
        <w:pStyle w:val="ListNumber"/>
        <w:numPr>
          <w:ilvl w:val="0"/>
          <w:numId w:val="0"/>
        </w:numPr>
        <w:ind w:left="360" w:hanging="360"/>
        <w:rPr>
          <w:rFonts w:asciiTheme="majorHAnsi" w:hAnsiTheme="majorHAnsi" w:cstheme="majorHAnsi"/>
        </w:rPr>
      </w:pPr>
    </w:p>
    <w:p w14:paraId="0B28BA2F" w14:textId="77777777" w:rsidR="00E61B60" w:rsidRDefault="00E61B60" w:rsidP="00E61B60">
      <w:pPr>
        <w:pStyle w:val="ListNumber"/>
        <w:numPr>
          <w:ilvl w:val="0"/>
          <w:numId w:val="0"/>
        </w:numPr>
        <w:ind w:left="360" w:hanging="360"/>
        <w:rPr>
          <w:rFonts w:asciiTheme="majorHAnsi" w:hAnsiTheme="majorHAnsi" w:cstheme="majorHAnsi"/>
        </w:rPr>
      </w:pPr>
    </w:p>
    <w:p w14:paraId="7894B0FD" w14:textId="77777777" w:rsidR="00E61B60" w:rsidRDefault="00E61B60" w:rsidP="00E61B60">
      <w:pPr>
        <w:pStyle w:val="ListNumber"/>
        <w:numPr>
          <w:ilvl w:val="0"/>
          <w:numId w:val="0"/>
        </w:numPr>
        <w:ind w:left="360" w:hanging="360"/>
        <w:rPr>
          <w:rFonts w:asciiTheme="majorHAnsi" w:hAnsiTheme="majorHAnsi" w:cstheme="majorHAnsi"/>
        </w:rPr>
      </w:pPr>
    </w:p>
    <w:p w14:paraId="4C3CD041" w14:textId="77777777" w:rsidR="00E61B60" w:rsidRDefault="00E61B60" w:rsidP="00E61B60">
      <w:pPr>
        <w:pStyle w:val="ListNumber"/>
        <w:numPr>
          <w:ilvl w:val="0"/>
          <w:numId w:val="0"/>
        </w:numPr>
        <w:ind w:left="360" w:hanging="360"/>
        <w:rPr>
          <w:rFonts w:asciiTheme="majorHAnsi" w:hAnsiTheme="majorHAnsi" w:cstheme="majorHAnsi"/>
        </w:rPr>
      </w:pPr>
    </w:p>
    <w:p w14:paraId="3BFB769C" w14:textId="77777777" w:rsidR="00E61B60" w:rsidRDefault="00E61B60" w:rsidP="00E61B60">
      <w:pPr>
        <w:pStyle w:val="ListNumber"/>
        <w:numPr>
          <w:ilvl w:val="0"/>
          <w:numId w:val="0"/>
        </w:numPr>
        <w:ind w:left="360" w:hanging="360"/>
        <w:rPr>
          <w:rFonts w:asciiTheme="majorHAnsi" w:hAnsiTheme="majorHAnsi" w:cstheme="majorHAnsi"/>
        </w:rPr>
      </w:pPr>
    </w:p>
    <w:p w14:paraId="1F08FB8F" w14:textId="77777777" w:rsidR="00E61B60" w:rsidRPr="00A16ACF" w:rsidRDefault="00E61B60" w:rsidP="00E61B60">
      <w:pPr>
        <w:pStyle w:val="ListNumber"/>
        <w:numPr>
          <w:ilvl w:val="0"/>
          <w:numId w:val="0"/>
        </w:numPr>
        <w:ind w:left="360" w:hanging="360"/>
        <w:rPr>
          <w:rFonts w:asciiTheme="majorHAnsi" w:hAnsiTheme="majorHAnsi" w:cstheme="majorHAnsi"/>
        </w:rPr>
      </w:pPr>
    </w:p>
    <w:p w14:paraId="28BB4BDB" w14:textId="3760B6A2" w:rsidR="00576389" w:rsidRPr="0012137E" w:rsidRDefault="007F600D">
      <w:pPr>
        <w:pStyle w:val="Heading2"/>
        <w:rPr>
          <w:rFonts w:cstheme="majorHAnsi"/>
          <w:color w:val="auto"/>
        </w:rPr>
      </w:pPr>
      <w:r w:rsidRPr="0012137E">
        <w:rPr>
          <w:rFonts w:cstheme="majorHAnsi"/>
          <w:color w:val="auto"/>
        </w:rPr>
        <w:lastRenderedPageBreak/>
        <w:t>Inclusion (stand</w:t>
      </w:r>
      <w:r w:rsidRPr="0012137E">
        <w:rPr>
          <w:rFonts w:ascii="Cambria Math" w:hAnsi="Cambria Math" w:cs="Cambria Math"/>
          <w:color w:val="auto"/>
        </w:rPr>
        <w:t>‑</w:t>
      </w:r>
      <w:r w:rsidRPr="0012137E">
        <w:rPr>
          <w:rFonts w:cstheme="majorHAnsi"/>
          <w:color w:val="auto"/>
        </w:rPr>
        <w:t>alone evaluation area)</w:t>
      </w:r>
    </w:p>
    <w:tbl>
      <w:tblPr>
        <w:tblStyle w:val="Light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3402"/>
        <w:gridCol w:w="3570"/>
        <w:gridCol w:w="3486"/>
      </w:tblGrid>
      <w:tr w:rsidR="003A0003" w:rsidRPr="0012137E" w14:paraId="029D19C0" w14:textId="77777777" w:rsidTr="00A577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459EC46"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78C9F97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02" w:type="dxa"/>
          </w:tcPr>
          <w:p w14:paraId="77753C3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570" w:type="dxa"/>
          </w:tcPr>
          <w:p w14:paraId="679454CF"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40867E0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3F15BDCB" w14:textId="77777777" w:rsidTr="00A57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5FF19A5D" w14:textId="77777777" w:rsidR="00576389" w:rsidRPr="0012137E" w:rsidRDefault="007F600D">
            <w:pPr>
              <w:rPr>
                <w:rFonts w:asciiTheme="majorHAnsi" w:hAnsiTheme="majorHAnsi" w:cstheme="majorHAnsi"/>
              </w:rPr>
            </w:pPr>
            <w:r w:rsidRPr="0012137E">
              <w:rPr>
                <w:rFonts w:asciiTheme="majorHAnsi" w:hAnsiTheme="majorHAnsi" w:cstheme="majorHAnsi"/>
              </w:rPr>
              <w:t>I.1</w:t>
            </w:r>
          </w:p>
        </w:tc>
        <w:tc>
          <w:tcPr>
            <w:tcW w:w="2835" w:type="dxa"/>
            <w:tcBorders>
              <w:top w:val="none" w:sz="0" w:space="0" w:color="auto"/>
              <w:bottom w:val="none" w:sz="0" w:space="0" w:color="auto"/>
            </w:tcBorders>
          </w:tcPr>
          <w:p w14:paraId="52BBC3C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Inclusion leadership, vision and culture</w:t>
            </w:r>
          </w:p>
        </w:tc>
        <w:tc>
          <w:tcPr>
            <w:tcW w:w="3402" w:type="dxa"/>
            <w:tcBorders>
              <w:top w:val="none" w:sz="0" w:space="0" w:color="auto"/>
              <w:bottom w:val="none" w:sz="0" w:space="0" w:color="auto"/>
            </w:tcBorders>
          </w:tcPr>
          <w:p w14:paraId="6B76844A"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Inclusion ambitions are noted</w:t>
            </w:r>
            <w:r w:rsidR="003A0003" w:rsidRPr="0012137E">
              <w:rPr>
                <w:rFonts w:asciiTheme="majorHAnsi" w:hAnsiTheme="majorHAnsi" w:cstheme="majorHAnsi"/>
                <w:color w:val="FF0000"/>
              </w:rPr>
              <w:t>.</w:t>
            </w:r>
          </w:p>
          <w:p w14:paraId="085323B5" w14:textId="61AADD83" w:rsidR="00576389"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R</w:t>
            </w:r>
            <w:r w:rsidR="007F600D" w:rsidRPr="0012137E">
              <w:rPr>
                <w:rFonts w:asciiTheme="majorHAnsi" w:hAnsiTheme="majorHAnsi" w:cstheme="majorHAnsi"/>
                <w:color w:val="FF0000"/>
              </w:rPr>
              <w:t>esponsibilities sit mainly with DT/SENCO.</w:t>
            </w:r>
          </w:p>
        </w:tc>
        <w:tc>
          <w:tcPr>
            <w:tcW w:w="3570" w:type="dxa"/>
            <w:tcBorders>
              <w:top w:val="none" w:sz="0" w:space="0" w:color="auto"/>
              <w:bottom w:val="none" w:sz="0" w:space="0" w:color="auto"/>
            </w:tcBorders>
          </w:tcPr>
          <w:p w14:paraId="22022944"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Inclusive culture is modelled by leaders</w:t>
            </w:r>
            <w:r w:rsidR="003A0003" w:rsidRPr="0012137E">
              <w:rPr>
                <w:rFonts w:asciiTheme="majorHAnsi" w:hAnsiTheme="majorHAnsi" w:cstheme="majorHAnsi"/>
                <w:color w:val="E36C0A" w:themeColor="accent6" w:themeShade="BF"/>
              </w:rPr>
              <w:t>.</w:t>
            </w:r>
          </w:p>
          <w:p w14:paraId="347F4666"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w:t>
            </w:r>
            <w:r w:rsidR="007F600D" w:rsidRPr="0012137E">
              <w:rPr>
                <w:rFonts w:asciiTheme="majorHAnsi" w:hAnsiTheme="majorHAnsi" w:cstheme="majorHAnsi"/>
                <w:color w:val="E36C0A" w:themeColor="accent6" w:themeShade="BF"/>
              </w:rPr>
              <w:t>nclusion threads are visible across policies, QA and CPD</w:t>
            </w:r>
            <w:r w:rsidRPr="0012137E">
              <w:rPr>
                <w:rFonts w:asciiTheme="majorHAnsi" w:hAnsiTheme="majorHAnsi" w:cstheme="majorHAnsi"/>
                <w:color w:val="E36C0A" w:themeColor="accent6" w:themeShade="BF"/>
              </w:rPr>
              <w:t>.</w:t>
            </w:r>
          </w:p>
          <w:p w14:paraId="788D8BE0" w14:textId="089F836C" w:rsidR="00576389"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G</w:t>
            </w:r>
            <w:r w:rsidR="007F600D" w:rsidRPr="0012137E">
              <w:rPr>
                <w:rFonts w:asciiTheme="majorHAnsi" w:hAnsiTheme="majorHAnsi" w:cstheme="majorHAnsi"/>
                <w:color w:val="E36C0A" w:themeColor="accent6" w:themeShade="BF"/>
              </w:rPr>
              <w:t>overning board receives regular inclusion reports.</w:t>
            </w:r>
          </w:p>
        </w:tc>
        <w:tc>
          <w:tcPr>
            <w:tcW w:w="3486" w:type="dxa"/>
            <w:tcBorders>
              <w:top w:val="none" w:sz="0" w:space="0" w:color="auto"/>
              <w:bottom w:val="none" w:sz="0" w:space="0" w:color="auto"/>
              <w:right w:val="none" w:sz="0" w:space="0" w:color="auto"/>
            </w:tcBorders>
          </w:tcPr>
          <w:p w14:paraId="3B0C01E9" w14:textId="7764B08A" w:rsidR="00793301" w:rsidRDefault="00793301">
            <w:pPr>
              <w:cnfStyle w:val="000000100000" w:firstRow="0" w:lastRow="0" w:firstColumn="0" w:lastColumn="0" w:oddVBand="0" w:evenVBand="0" w:oddHBand="1" w:evenHBand="0" w:firstRowFirstColumn="0" w:firstRowLastColumn="0" w:lastRowFirstColumn="0" w:lastRowLastColumn="0"/>
              <w:rPr>
                <w:rFonts w:ascii="Calibri" w:hAnsi="Calibri" w:cs="Calibri"/>
                <w:color w:val="00B050"/>
              </w:rPr>
            </w:pPr>
            <w:r>
              <w:rPr>
                <w:rFonts w:ascii="Calibri" w:hAnsi="Calibri" w:cs="Calibri"/>
                <w:color w:val="00B050"/>
              </w:rPr>
              <w:t xml:space="preserve">Leaders benchmark inclusion using the September 2026 </w:t>
            </w:r>
            <w:r w:rsidR="00D25D75" w:rsidRPr="001C7CB7">
              <w:rPr>
                <w:rFonts w:ascii="Calibri" w:hAnsi="Calibri" w:cs="Calibri"/>
                <w:color w:val="00B050"/>
              </w:rPr>
              <w:t xml:space="preserve">Further Education </w:t>
            </w:r>
            <w:r>
              <w:rPr>
                <w:rFonts w:ascii="Calibri" w:hAnsi="Calibri" w:cs="Calibri"/>
                <w:color w:val="00B050"/>
              </w:rPr>
              <w:t>Ofsted toolkit and maintain a clear inclusion strategy.</w:t>
            </w:r>
          </w:p>
          <w:p w14:paraId="2D61726E"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The setting can evidence a whole-setting approach to equality, inclusion and reasonable adjustments.</w:t>
            </w:r>
          </w:p>
          <w:p w14:paraId="237EE67F"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I</w:t>
            </w:r>
            <w:r w:rsidR="007F600D" w:rsidRPr="0012137E">
              <w:rPr>
                <w:rFonts w:asciiTheme="majorHAnsi" w:hAnsiTheme="majorHAnsi" w:cstheme="majorHAnsi"/>
                <w:color w:val="00B050"/>
              </w:rPr>
              <w:t>nclusion is everyone’s business with visible impact on belonging, access and outcomes</w:t>
            </w:r>
            <w:r w:rsidRPr="0012137E">
              <w:rPr>
                <w:rFonts w:asciiTheme="majorHAnsi" w:hAnsiTheme="majorHAnsi" w:cstheme="majorHAnsi"/>
                <w:color w:val="00B050"/>
              </w:rPr>
              <w:t>.</w:t>
            </w:r>
          </w:p>
          <w:p w14:paraId="21273523" w14:textId="7BB461F2"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sidRPr="00880402">
              <w:rPr>
                <w:rFonts w:ascii="Calibri" w:hAnsi="Calibri" w:cs="Calibri"/>
                <w:color w:val="00B050"/>
              </w:rPr>
              <w:t>Governance or board</w:t>
            </w:r>
            <w:r w:rsidR="00D25D75" w:rsidRPr="00880402">
              <w:rPr>
                <w:rFonts w:ascii="Calibri" w:hAnsi="Calibri" w:cs="Calibri"/>
                <w:color w:val="00B050"/>
              </w:rPr>
              <w:t xml:space="preserve"> </w:t>
            </w:r>
            <w:r>
              <w:rPr>
                <w:rFonts w:ascii="Calibri" w:hAnsi="Calibri" w:cs="Calibri"/>
                <w:color w:val="00B050"/>
              </w:rPr>
              <w:t>challenge secures resources, monitors inclusion strategy and tests whether learners achieve, belong and progress.</w:t>
            </w:r>
          </w:p>
          <w:p w14:paraId="693C0842" w14:textId="78EC6395"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533FB15A" w14:textId="77777777" w:rsidTr="00167BFA">
        <w:tc>
          <w:tcPr>
            <w:cnfStyle w:val="001000000000" w:firstRow="0" w:lastRow="0" w:firstColumn="1" w:lastColumn="0" w:oddVBand="0" w:evenVBand="0" w:oddHBand="0" w:evenHBand="0" w:firstRowFirstColumn="0" w:firstRowLastColumn="0" w:lastRowFirstColumn="0" w:lastRowLastColumn="0"/>
            <w:tcW w:w="14110" w:type="dxa"/>
            <w:gridSpan w:val="5"/>
          </w:tcPr>
          <w:p w14:paraId="406A167E"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588FC30" w14:textId="05191BA2" w:rsidR="00167BFA" w:rsidRPr="0012137E" w:rsidRDefault="00167BFA">
            <w:pPr>
              <w:rPr>
                <w:rFonts w:asciiTheme="majorHAnsi" w:hAnsiTheme="majorHAnsi" w:cstheme="majorHAnsi"/>
                <w:b w:val="0"/>
                <w:bCs w:val="0"/>
              </w:rPr>
            </w:pPr>
          </w:p>
        </w:tc>
      </w:tr>
      <w:tr w:rsidR="00454771" w:rsidRPr="0012137E" w14:paraId="772F3B14" w14:textId="77777777" w:rsidTr="00A57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401EEB37" w14:textId="77777777" w:rsidR="00576389" w:rsidRPr="0012137E" w:rsidRDefault="007F600D">
            <w:pPr>
              <w:rPr>
                <w:rFonts w:asciiTheme="majorHAnsi" w:hAnsiTheme="majorHAnsi" w:cstheme="majorHAnsi"/>
              </w:rPr>
            </w:pPr>
            <w:r w:rsidRPr="0012137E">
              <w:rPr>
                <w:rFonts w:asciiTheme="majorHAnsi" w:hAnsiTheme="majorHAnsi" w:cstheme="majorHAnsi"/>
              </w:rPr>
              <w:t>I.2</w:t>
            </w:r>
          </w:p>
        </w:tc>
        <w:tc>
          <w:tcPr>
            <w:tcW w:w="2835" w:type="dxa"/>
            <w:tcBorders>
              <w:top w:val="none" w:sz="0" w:space="0" w:color="auto"/>
              <w:bottom w:val="none" w:sz="0" w:space="0" w:color="auto"/>
            </w:tcBorders>
          </w:tcPr>
          <w:p w14:paraId="7D3267F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Early identification &amp; APDR cycle (incl. disadvantaged, SEND, CLA/PLAC, CWSW, young carers)</w:t>
            </w:r>
          </w:p>
        </w:tc>
        <w:tc>
          <w:tcPr>
            <w:tcW w:w="3402" w:type="dxa"/>
            <w:tcBorders>
              <w:top w:val="none" w:sz="0" w:space="0" w:color="auto"/>
              <w:bottom w:val="none" w:sz="0" w:space="0" w:color="auto"/>
            </w:tcBorders>
          </w:tcPr>
          <w:p w14:paraId="2FD1F2A1"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Needs are recorded</w:t>
            </w:r>
            <w:r w:rsidR="003A0003" w:rsidRPr="0012137E">
              <w:rPr>
                <w:rFonts w:asciiTheme="majorHAnsi" w:hAnsiTheme="majorHAnsi" w:cstheme="majorHAnsi"/>
                <w:color w:val="FF0000"/>
              </w:rPr>
              <w:t>.</w:t>
            </w:r>
          </w:p>
          <w:p w14:paraId="11CC0192" w14:textId="6AADFD0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APDR occurs but is inconsistent in quality or timeliness.</w:t>
            </w:r>
          </w:p>
        </w:tc>
        <w:tc>
          <w:tcPr>
            <w:tcW w:w="3570" w:type="dxa"/>
            <w:tcBorders>
              <w:top w:val="none" w:sz="0" w:space="0" w:color="auto"/>
              <w:bottom w:val="none" w:sz="0" w:space="0" w:color="auto"/>
            </w:tcBorders>
          </w:tcPr>
          <w:p w14:paraId="25B28CB2"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APDR cycles are timely and quality</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assured</w:t>
            </w:r>
            <w:r w:rsidR="003A0003" w:rsidRPr="0012137E">
              <w:rPr>
                <w:rFonts w:asciiTheme="majorHAnsi" w:hAnsiTheme="majorHAnsi" w:cstheme="majorHAnsi"/>
                <w:color w:val="E36C0A" w:themeColor="accent6" w:themeShade="BF"/>
              </w:rPr>
              <w:t>.</w:t>
            </w:r>
          </w:p>
          <w:p w14:paraId="4EA9A0D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Plans reference PEPs/EHCPs and are co-produced with pupils, carers, families, social workers, the SENCo and Virtual School where relevant.</w:t>
            </w:r>
          </w:p>
          <w:p w14:paraId="5A64FB67" w14:textId="39D22A32"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86" w:type="dxa"/>
            <w:tcBorders>
              <w:top w:val="none" w:sz="0" w:space="0" w:color="auto"/>
              <w:bottom w:val="none" w:sz="0" w:space="0" w:color="auto"/>
              <w:right w:val="none" w:sz="0" w:space="0" w:color="auto"/>
            </w:tcBorders>
          </w:tcPr>
          <w:p w14:paraId="6162A86A"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Proactive screening and triage prevent escalation</w:t>
            </w:r>
            <w:r w:rsidR="003A0003" w:rsidRPr="0012137E">
              <w:rPr>
                <w:rFonts w:asciiTheme="majorHAnsi" w:hAnsiTheme="majorHAnsi" w:cstheme="majorHAnsi"/>
                <w:color w:val="00B050"/>
              </w:rPr>
              <w:t>.</w:t>
            </w:r>
          </w:p>
          <w:p w14:paraId="2F2012EC"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APDR demonstrates rapid iteration with measurable impact. Cycles are moderated, </w:t>
            </w:r>
            <w:proofErr w:type="gramStart"/>
            <w:r>
              <w:rPr>
                <w:rFonts w:ascii="Calibri" w:hAnsi="Calibri" w:cs="Calibri"/>
                <w:color w:val="00B050"/>
              </w:rPr>
              <w:t>include</w:t>
            </w:r>
            <w:proofErr w:type="gramEnd"/>
            <w:r>
              <w:rPr>
                <w:rFonts w:ascii="Calibri" w:hAnsi="Calibri" w:cs="Calibri"/>
                <w:color w:val="00B050"/>
              </w:rPr>
              <w:t xml:space="preserve"> family engagement and inform strategy.</w:t>
            </w:r>
          </w:p>
          <w:p w14:paraId="6F0D958D" w14:textId="085139B9"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24B8A7FC" w14:textId="77777777" w:rsidTr="00167BFA">
        <w:tc>
          <w:tcPr>
            <w:cnfStyle w:val="001000000000" w:firstRow="0" w:lastRow="0" w:firstColumn="1" w:lastColumn="0" w:oddVBand="0" w:evenVBand="0" w:oddHBand="0" w:evenHBand="0" w:firstRowFirstColumn="0" w:firstRowLastColumn="0" w:lastRowFirstColumn="0" w:lastRowLastColumn="0"/>
            <w:tcW w:w="14110" w:type="dxa"/>
            <w:gridSpan w:val="5"/>
          </w:tcPr>
          <w:p w14:paraId="6B687617"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60D3BB6" w14:textId="2B8B4304" w:rsidR="00167BFA" w:rsidRPr="0012137E" w:rsidRDefault="00167BFA">
            <w:pPr>
              <w:rPr>
                <w:rFonts w:asciiTheme="majorHAnsi" w:hAnsiTheme="majorHAnsi" w:cstheme="majorHAnsi"/>
                <w:b w:val="0"/>
                <w:bCs w:val="0"/>
              </w:rPr>
            </w:pPr>
          </w:p>
        </w:tc>
      </w:tr>
      <w:tr w:rsidR="00454771" w:rsidRPr="0012137E" w14:paraId="451FA007" w14:textId="77777777" w:rsidTr="00A57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9FA6E04" w14:textId="77777777" w:rsidR="00576389" w:rsidRPr="0012137E" w:rsidRDefault="007F600D">
            <w:pPr>
              <w:rPr>
                <w:rFonts w:asciiTheme="majorHAnsi" w:hAnsiTheme="majorHAnsi" w:cstheme="majorHAnsi"/>
              </w:rPr>
            </w:pPr>
            <w:r w:rsidRPr="0012137E">
              <w:rPr>
                <w:rFonts w:asciiTheme="majorHAnsi" w:hAnsiTheme="majorHAnsi" w:cstheme="majorHAnsi"/>
              </w:rPr>
              <w:t>I.3</w:t>
            </w:r>
          </w:p>
        </w:tc>
        <w:tc>
          <w:tcPr>
            <w:tcW w:w="2835" w:type="dxa"/>
            <w:tcBorders>
              <w:top w:val="none" w:sz="0" w:space="0" w:color="auto"/>
              <w:bottom w:val="none" w:sz="0" w:space="0" w:color="auto"/>
            </w:tcBorders>
          </w:tcPr>
          <w:p w14:paraId="475B841E"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Curriculum access &amp; adaptive teaching</w:t>
            </w:r>
          </w:p>
        </w:tc>
        <w:tc>
          <w:tcPr>
            <w:tcW w:w="3402" w:type="dxa"/>
            <w:tcBorders>
              <w:top w:val="none" w:sz="0" w:space="0" w:color="auto"/>
              <w:bottom w:val="none" w:sz="0" w:space="0" w:color="auto"/>
            </w:tcBorders>
          </w:tcPr>
          <w:p w14:paraId="1CE8459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Support is provided but classroom adaptations are inconsistent or undocumented.</w:t>
            </w:r>
          </w:p>
        </w:tc>
        <w:tc>
          <w:tcPr>
            <w:tcW w:w="3570" w:type="dxa"/>
            <w:tcBorders>
              <w:top w:val="none" w:sz="0" w:space="0" w:color="auto"/>
              <w:bottom w:val="none" w:sz="0" w:space="0" w:color="auto"/>
            </w:tcBorders>
          </w:tcPr>
          <w:p w14:paraId="228EA82D"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Adaptive teaching is routine. Curriculum pathways remain ambitious.</w:t>
            </w:r>
          </w:p>
          <w:p w14:paraId="15C3AC9F" w14:textId="55D691A6"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Adaptations and reasonable adjustments are recorded and reviewed.</w:t>
            </w:r>
          </w:p>
        </w:tc>
        <w:tc>
          <w:tcPr>
            <w:tcW w:w="3486" w:type="dxa"/>
            <w:tcBorders>
              <w:top w:val="none" w:sz="0" w:space="0" w:color="auto"/>
              <w:bottom w:val="none" w:sz="0" w:space="0" w:color="auto"/>
              <w:right w:val="none" w:sz="0" w:space="0" w:color="auto"/>
            </w:tcBorders>
          </w:tcPr>
          <w:p w14:paraId="41E54630" w14:textId="4A48E9C5"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Curriculum is coherently accessible by design, including for pupils educated following disruption to education.</w:t>
            </w:r>
          </w:p>
          <w:p w14:paraId="2E284812"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Staff skill in scaffolding stretches pupils without narrowing.</w:t>
            </w:r>
          </w:p>
          <w:p w14:paraId="0EC20AA9" w14:textId="2D298D8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 xml:space="preserve">QA </w:t>
            </w:r>
            <w:proofErr w:type="gramStart"/>
            <w:r w:rsidRPr="0012137E">
              <w:rPr>
                <w:rFonts w:asciiTheme="majorHAnsi" w:hAnsiTheme="majorHAnsi" w:cstheme="majorHAnsi"/>
                <w:color w:val="00B050"/>
              </w:rPr>
              <w:t>evidences</w:t>
            </w:r>
            <w:proofErr w:type="gramEnd"/>
            <w:r w:rsidRPr="0012137E">
              <w:rPr>
                <w:rFonts w:asciiTheme="majorHAnsi" w:hAnsiTheme="majorHAnsi" w:cstheme="majorHAnsi"/>
                <w:color w:val="00B050"/>
              </w:rPr>
              <w:t xml:space="preserve"> high</w:t>
            </w:r>
            <w:r w:rsidRPr="0012137E">
              <w:rPr>
                <w:rFonts w:ascii="Cambria Math" w:hAnsi="Cambria Math" w:cs="Cambria Math"/>
                <w:color w:val="00B050"/>
              </w:rPr>
              <w:t>‑</w:t>
            </w:r>
            <w:r w:rsidRPr="0012137E">
              <w:rPr>
                <w:rFonts w:asciiTheme="majorHAnsi" w:hAnsiTheme="majorHAnsi" w:cstheme="majorHAnsi"/>
                <w:color w:val="00B050"/>
              </w:rPr>
              <w:t>quality adaptive practice.</w:t>
            </w:r>
          </w:p>
        </w:tc>
      </w:tr>
      <w:tr w:rsidR="00167BFA" w:rsidRPr="0012137E" w14:paraId="3868170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47A98EE1"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7189394C" w14:textId="1091C6CD" w:rsidR="00167BFA" w:rsidRPr="0012137E" w:rsidRDefault="00167BFA">
            <w:pPr>
              <w:rPr>
                <w:rFonts w:asciiTheme="majorHAnsi" w:hAnsiTheme="majorHAnsi" w:cstheme="majorHAnsi"/>
                <w:b w:val="0"/>
                <w:bCs w:val="0"/>
              </w:rPr>
            </w:pPr>
          </w:p>
        </w:tc>
      </w:tr>
      <w:tr w:rsidR="00454771" w:rsidRPr="0012137E" w14:paraId="5B91AEFE" w14:textId="77777777" w:rsidTr="00A57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94B13F1" w14:textId="77777777" w:rsidR="00576389" w:rsidRPr="0012137E" w:rsidRDefault="007F600D">
            <w:pPr>
              <w:rPr>
                <w:rFonts w:asciiTheme="majorHAnsi" w:hAnsiTheme="majorHAnsi" w:cstheme="majorHAnsi"/>
              </w:rPr>
            </w:pPr>
            <w:r w:rsidRPr="0012137E">
              <w:rPr>
                <w:rFonts w:asciiTheme="majorHAnsi" w:hAnsiTheme="majorHAnsi" w:cstheme="majorHAnsi"/>
              </w:rPr>
              <w:t>I.4</w:t>
            </w:r>
          </w:p>
        </w:tc>
        <w:tc>
          <w:tcPr>
            <w:tcW w:w="2835" w:type="dxa"/>
            <w:tcBorders>
              <w:top w:val="none" w:sz="0" w:space="0" w:color="auto"/>
              <w:bottom w:val="none" w:sz="0" w:space="0" w:color="auto"/>
            </w:tcBorders>
          </w:tcPr>
          <w:p w14:paraId="0048F7D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Equity, participation &amp; enrichment</w:t>
            </w:r>
          </w:p>
        </w:tc>
        <w:tc>
          <w:tcPr>
            <w:tcW w:w="3402" w:type="dxa"/>
            <w:tcBorders>
              <w:top w:val="none" w:sz="0" w:space="0" w:color="auto"/>
              <w:bottom w:val="none" w:sz="0" w:space="0" w:color="auto"/>
            </w:tcBorders>
          </w:tcPr>
          <w:p w14:paraId="7147F116" w14:textId="77777777" w:rsidR="007F600D"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Virtual School</w:t>
            </w:r>
            <w:r w:rsidR="007F600D" w:rsidRPr="0012137E">
              <w:rPr>
                <w:rFonts w:asciiTheme="majorHAnsi" w:hAnsiTheme="majorHAnsi" w:cstheme="majorHAnsi"/>
                <w:color w:val="FF0000"/>
              </w:rPr>
              <w:t xml:space="preserve"> learners access some activities.</w:t>
            </w:r>
          </w:p>
          <w:p w14:paraId="0A59C808" w14:textId="6FF8CD2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Participation data is limited.</w:t>
            </w:r>
          </w:p>
        </w:tc>
        <w:tc>
          <w:tcPr>
            <w:tcW w:w="3570" w:type="dxa"/>
            <w:tcBorders>
              <w:top w:val="none" w:sz="0" w:space="0" w:color="auto"/>
              <w:bottom w:val="none" w:sz="0" w:space="0" w:color="auto"/>
            </w:tcBorders>
          </w:tcPr>
          <w:p w14:paraId="2077AB4D"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Participation is tracked with targeted action to address gaps.</w:t>
            </w:r>
          </w:p>
          <w:p w14:paraId="315BA038" w14:textId="79146F1A"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Carers/SWs help remove barriers.</w:t>
            </w:r>
          </w:p>
        </w:tc>
        <w:tc>
          <w:tcPr>
            <w:tcW w:w="3486" w:type="dxa"/>
            <w:tcBorders>
              <w:top w:val="none" w:sz="0" w:space="0" w:color="auto"/>
              <w:bottom w:val="none" w:sz="0" w:space="0" w:color="auto"/>
              <w:right w:val="none" w:sz="0" w:space="0" w:color="auto"/>
            </w:tcBorders>
          </w:tcPr>
          <w:p w14:paraId="1513119E"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Systematic strategies ensure equitable participation across enrichment, leadership, careers and personal development, taking account of the national Enrichment Framework where applicable.</w:t>
            </w:r>
          </w:p>
          <w:p w14:paraId="231E46DF" w14:textId="0AC8846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Published case studies evidence raised aspiration and cultural capital.</w:t>
            </w:r>
          </w:p>
        </w:tc>
      </w:tr>
      <w:tr w:rsidR="00167BFA" w:rsidRPr="0012137E" w14:paraId="710C404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471E279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01998EC" w14:textId="22A4A826" w:rsidR="00167BFA" w:rsidRPr="0012137E" w:rsidRDefault="00EE6256">
            <w:pPr>
              <w:rPr>
                <w:rFonts w:asciiTheme="majorHAnsi" w:hAnsiTheme="majorHAnsi" w:cstheme="majorHAnsi"/>
                <w:b w:val="0"/>
                <w:bCs w:val="0"/>
              </w:rPr>
            </w:pPr>
            <w:r w:rsidRPr="0012137E">
              <w:rPr>
                <w:rFonts w:asciiTheme="majorHAnsi" w:hAnsiTheme="majorHAnsi" w:cstheme="majorHAnsi"/>
                <w:b w:val="0"/>
                <w:bCs w:val="0"/>
                <w:color w:val="00B050"/>
              </w:rPr>
              <w:t xml:space="preserve"> </w:t>
            </w:r>
          </w:p>
        </w:tc>
      </w:tr>
      <w:tr w:rsidR="00454771" w:rsidRPr="0012137E" w14:paraId="6A0EFB22" w14:textId="77777777" w:rsidTr="00A577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1E2A5F2" w14:textId="5FEA4DBC" w:rsidR="00576389" w:rsidRPr="0012137E" w:rsidRDefault="007F600D">
            <w:pPr>
              <w:rPr>
                <w:rFonts w:asciiTheme="majorHAnsi" w:hAnsiTheme="majorHAnsi" w:cstheme="majorHAnsi"/>
              </w:rPr>
            </w:pPr>
            <w:r w:rsidRPr="0012137E">
              <w:rPr>
                <w:rFonts w:asciiTheme="majorHAnsi" w:hAnsiTheme="majorHAnsi" w:cstheme="majorHAnsi"/>
              </w:rPr>
              <w:t>I.</w:t>
            </w:r>
            <w:r w:rsidR="00866502" w:rsidRPr="0012137E">
              <w:rPr>
                <w:rFonts w:asciiTheme="majorHAnsi" w:hAnsiTheme="majorHAnsi" w:cstheme="majorHAnsi"/>
              </w:rPr>
              <w:t>5</w:t>
            </w:r>
          </w:p>
        </w:tc>
        <w:tc>
          <w:tcPr>
            <w:tcW w:w="2835" w:type="dxa"/>
            <w:tcBorders>
              <w:top w:val="none" w:sz="0" w:space="0" w:color="auto"/>
              <w:bottom w:val="none" w:sz="0" w:space="0" w:color="auto"/>
            </w:tcBorders>
          </w:tcPr>
          <w:p w14:paraId="7EA0F7EA"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Impact &amp; gap-narrowing (achievement, progress, attendance, engagement, EET)</w:t>
            </w:r>
          </w:p>
          <w:p w14:paraId="6F04DAD3" w14:textId="3507930C"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02" w:type="dxa"/>
            <w:tcBorders>
              <w:top w:val="none" w:sz="0" w:space="0" w:color="auto"/>
              <w:bottom w:val="none" w:sz="0" w:space="0" w:color="auto"/>
            </w:tcBorders>
          </w:tcPr>
          <w:p w14:paraId="5BE61F11"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Tracking exists for some groups.</w:t>
            </w:r>
          </w:p>
          <w:p w14:paraId="284BCD69" w14:textId="6712C7D9"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Analysis is descriptive.</w:t>
            </w:r>
          </w:p>
        </w:tc>
        <w:tc>
          <w:tcPr>
            <w:tcW w:w="3570" w:type="dxa"/>
            <w:tcBorders>
              <w:top w:val="none" w:sz="0" w:space="0" w:color="auto"/>
              <w:bottom w:val="none" w:sz="0" w:space="0" w:color="auto"/>
            </w:tcBorders>
          </w:tcPr>
          <w:p w14:paraId="1D8F987D"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 xml:space="preserve">Cohort dashboards </w:t>
            </w:r>
            <w:proofErr w:type="spellStart"/>
            <w:r>
              <w:rPr>
                <w:rFonts w:ascii="Calibri" w:hAnsi="Calibri" w:cs="Calibri"/>
                <w:color w:val="E36C0A"/>
              </w:rPr>
              <w:t>analyse</w:t>
            </w:r>
            <w:proofErr w:type="spellEnd"/>
            <w:r>
              <w:rPr>
                <w:rFonts w:ascii="Calibri" w:hAnsi="Calibri" w:cs="Calibri"/>
                <w:color w:val="E36C0A"/>
              </w:rPr>
              <w:t xml:space="preserve"> trends and compare outcomes with appropriate contextual information, including similar-provider data where available.</w:t>
            </w:r>
          </w:p>
          <w:p w14:paraId="0A78A20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Interventions are evaluated for impact.</w:t>
            </w:r>
          </w:p>
          <w:p w14:paraId="7F14102E" w14:textId="50EC493F"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Gaps narrow over time.</w:t>
            </w:r>
          </w:p>
        </w:tc>
        <w:tc>
          <w:tcPr>
            <w:tcW w:w="3486" w:type="dxa"/>
            <w:tcBorders>
              <w:top w:val="none" w:sz="0" w:space="0" w:color="auto"/>
              <w:bottom w:val="none" w:sz="0" w:space="0" w:color="auto"/>
              <w:right w:val="none" w:sz="0" w:space="0" w:color="auto"/>
            </w:tcBorders>
          </w:tcPr>
          <w:p w14:paraId="0749FC3C"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Equity</w:t>
            </w:r>
            <w:r w:rsidRPr="0012137E">
              <w:rPr>
                <w:rFonts w:ascii="Cambria Math" w:hAnsi="Cambria Math" w:cs="Cambria Math"/>
                <w:color w:val="00B050"/>
              </w:rPr>
              <w:t>‑</w:t>
            </w:r>
            <w:r w:rsidRPr="0012137E">
              <w:rPr>
                <w:rFonts w:asciiTheme="majorHAnsi" w:hAnsiTheme="majorHAnsi" w:cstheme="majorHAnsi"/>
                <w:color w:val="00B050"/>
              </w:rPr>
              <w:t>focused analytics inform strategy and resourcing.</w:t>
            </w:r>
          </w:p>
          <w:p w14:paraId="02EA006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Sustained narrowing of gaps is evidenced and externally benchmarked, including for disadvantaged pupils, pupils with SEND and those joining after low attendance or disrupted education.</w:t>
            </w:r>
          </w:p>
          <w:p w14:paraId="3FBDA926" w14:textId="2E2CACB2"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4CC58E72"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00928C6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EF51F7A" w14:textId="7C490D13" w:rsidR="00167BFA" w:rsidRPr="0012137E" w:rsidRDefault="00167BFA">
            <w:pPr>
              <w:rPr>
                <w:rFonts w:asciiTheme="majorHAnsi" w:hAnsiTheme="majorHAnsi" w:cstheme="majorHAnsi"/>
                <w:b w:val="0"/>
                <w:bCs w:val="0"/>
              </w:rPr>
            </w:pPr>
          </w:p>
        </w:tc>
      </w:tr>
    </w:tbl>
    <w:p w14:paraId="5BC52982" w14:textId="77777777" w:rsidR="00576389" w:rsidRPr="0012137E" w:rsidRDefault="00576389">
      <w:pPr>
        <w:rPr>
          <w:rFonts w:asciiTheme="majorHAnsi" w:hAnsiTheme="majorHAnsi" w:cstheme="majorHAnsi"/>
        </w:rPr>
      </w:pPr>
    </w:p>
    <w:p w14:paraId="35D6381E" w14:textId="77777777" w:rsidR="00576389" w:rsidRPr="0012137E" w:rsidRDefault="007F600D">
      <w:pPr>
        <w:pStyle w:val="Heading2"/>
        <w:rPr>
          <w:rFonts w:cstheme="majorHAnsi"/>
          <w:color w:val="auto"/>
        </w:rPr>
      </w:pPr>
      <w:r w:rsidRPr="0012137E">
        <w:rPr>
          <w:rFonts w:cstheme="majorHAnsi"/>
          <w:color w:val="auto"/>
        </w:rPr>
        <w:t>1. Leadership &amp; Management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83"/>
        <w:gridCol w:w="2869"/>
        <w:gridCol w:w="3402"/>
        <w:gridCol w:w="3544"/>
        <w:gridCol w:w="3493"/>
      </w:tblGrid>
      <w:tr w:rsidR="00454771" w:rsidRPr="0012137E" w14:paraId="36F2502B" w14:textId="77777777" w:rsidTr="00A5776D">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83" w:type="dxa"/>
          </w:tcPr>
          <w:p w14:paraId="7633B335"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69" w:type="dxa"/>
          </w:tcPr>
          <w:p w14:paraId="386EF011"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02" w:type="dxa"/>
          </w:tcPr>
          <w:p w14:paraId="12FC80B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544" w:type="dxa"/>
          </w:tcPr>
          <w:p w14:paraId="7BE38DDA"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93" w:type="dxa"/>
          </w:tcPr>
          <w:p w14:paraId="63C5D11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78EFDDC3" w14:textId="77777777" w:rsidTr="00A5776D">
        <w:trPr>
          <w:cnfStyle w:val="000000100000" w:firstRow="0" w:lastRow="0" w:firstColumn="0" w:lastColumn="0" w:oddVBand="0" w:evenVBand="0" w:oddHBand="1" w:evenHBand="0" w:firstRowFirstColumn="0" w:firstRowLastColumn="0" w:lastRowFirstColumn="0" w:lastRowLastColumn="0"/>
          <w:trHeight w:val="2706"/>
        </w:trPr>
        <w:tc>
          <w:tcPr>
            <w:cnfStyle w:val="001000000000" w:firstRow="0" w:lastRow="0" w:firstColumn="1" w:lastColumn="0" w:oddVBand="0" w:evenVBand="0" w:oddHBand="0" w:evenHBand="0" w:firstRowFirstColumn="0" w:firstRowLastColumn="0" w:lastRowFirstColumn="0" w:lastRowLastColumn="0"/>
            <w:tcW w:w="783" w:type="dxa"/>
            <w:tcBorders>
              <w:top w:val="none" w:sz="0" w:space="0" w:color="auto"/>
              <w:left w:val="none" w:sz="0" w:space="0" w:color="auto"/>
              <w:bottom w:val="none" w:sz="0" w:space="0" w:color="auto"/>
            </w:tcBorders>
          </w:tcPr>
          <w:p w14:paraId="08FA570B" w14:textId="77777777" w:rsidR="00576389" w:rsidRPr="0012137E" w:rsidRDefault="007F600D">
            <w:pPr>
              <w:rPr>
                <w:rFonts w:asciiTheme="majorHAnsi" w:hAnsiTheme="majorHAnsi" w:cstheme="majorHAnsi"/>
              </w:rPr>
            </w:pPr>
            <w:r w:rsidRPr="0012137E">
              <w:rPr>
                <w:rFonts w:asciiTheme="majorHAnsi" w:hAnsiTheme="majorHAnsi" w:cstheme="majorHAnsi"/>
              </w:rPr>
              <w:t>1.1</w:t>
            </w:r>
          </w:p>
        </w:tc>
        <w:tc>
          <w:tcPr>
            <w:tcW w:w="2869" w:type="dxa"/>
            <w:tcBorders>
              <w:top w:val="none" w:sz="0" w:space="0" w:color="auto"/>
              <w:bottom w:val="none" w:sz="0" w:space="0" w:color="auto"/>
            </w:tcBorders>
          </w:tcPr>
          <w:p w14:paraId="06E9F72C"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Identity, visibility and remit of the Designated Teacher (DT)</w:t>
            </w:r>
          </w:p>
        </w:tc>
        <w:tc>
          <w:tcPr>
            <w:tcW w:w="3402" w:type="dxa"/>
            <w:tcBorders>
              <w:top w:val="none" w:sz="0" w:space="0" w:color="auto"/>
              <w:bottom w:val="none" w:sz="0" w:space="0" w:color="auto"/>
            </w:tcBorders>
          </w:tcPr>
          <w:p w14:paraId="30E3A89E"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named.</w:t>
            </w:r>
          </w:p>
          <w:p w14:paraId="62AC4210" w14:textId="2CD09B03"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Most staff </w:t>
            </w:r>
            <w:proofErr w:type="gramStart"/>
            <w:r w:rsidRPr="0012137E">
              <w:rPr>
                <w:rFonts w:asciiTheme="majorHAnsi" w:hAnsiTheme="majorHAnsi" w:cstheme="majorHAnsi"/>
                <w:color w:val="FF0000"/>
              </w:rPr>
              <w:t>aware</w:t>
            </w:r>
            <w:proofErr w:type="gramEnd"/>
            <w:r w:rsidRPr="0012137E">
              <w:rPr>
                <w:rFonts w:asciiTheme="majorHAnsi" w:hAnsiTheme="majorHAnsi" w:cstheme="majorHAnsi"/>
                <w:color w:val="FF0000"/>
              </w:rPr>
              <w:t xml:space="preserve">. </w:t>
            </w:r>
          </w:p>
          <w:p w14:paraId="58BC12F9" w14:textId="1708594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identified centrally but visibility inconsistent.</w:t>
            </w:r>
          </w:p>
        </w:tc>
        <w:tc>
          <w:tcPr>
            <w:tcW w:w="3544" w:type="dxa"/>
            <w:tcBorders>
              <w:top w:val="none" w:sz="0" w:space="0" w:color="auto"/>
              <w:bottom w:val="none" w:sz="0" w:space="0" w:color="auto"/>
            </w:tcBorders>
          </w:tcPr>
          <w:p w14:paraId="64BEFF24"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All staff know the DT and how to contact.</w:t>
            </w:r>
          </w:p>
          <w:p w14:paraId="310A8D88" w14:textId="1717EEA6"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 xml:space="preserve">Systems flag </w:t>
            </w:r>
            <w:r w:rsidR="003A0003" w:rsidRPr="0012137E">
              <w:rPr>
                <w:rFonts w:asciiTheme="majorHAnsi" w:hAnsiTheme="majorHAnsi" w:cstheme="majorHAnsi"/>
                <w:color w:val="E36C0A" w:themeColor="accent6" w:themeShade="BF"/>
              </w:rPr>
              <w:t>Virtual School learners appropriately.</w:t>
            </w:r>
          </w:p>
          <w:p w14:paraId="4BB8797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Staff adapt teaching using PEP intelligence, SENCo advice, pupil voice and safeguarding/contextual information.</w:t>
            </w:r>
          </w:p>
          <w:p w14:paraId="4230B8F1" w14:textId="7F89276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493" w:type="dxa"/>
            <w:tcBorders>
              <w:top w:val="none" w:sz="0" w:space="0" w:color="auto"/>
              <w:bottom w:val="none" w:sz="0" w:space="0" w:color="auto"/>
              <w:right w:val="none" w:sz="0" w:space="0" w:color="auto"/>
            </w:tcBorders>
          </w:tcPr>
          <w:p w14:paraId="061136A7"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DT or lead professional champions vulnerable cohorts in whole-setting strategy.</w:t>
            </w:r>
          </w:p>
          <w:p w14:paraId="487E7664"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w:t>
            </w:r>
            <w:r w:rsidR="007F600D" w:rsidRPr="0012137E">
              <w:rPr>
                <w:rFonts w:asciiTheme="majorHAnsi" w:hAnsiTheme="majorHAnsi" w:cstheme="majorHAnsi"/>
                <w:color w:val="00B050"/>
              </w:rPr>
              <w:t xml:space="preserve">olicies are reviewed through a </w:t>
            </w:r>
            <w:r w:rsidRPr="0012137E">
              <w:rPr>
                <w:rFonts w:asciiTheme="majorHAnsi" w:hAnsiTheme="majorHAnsi" w:cstheme="majorHAnsi"/>
                <w:color w:val="00B050"/>
              </w:rPr>
              <w:t>Virtual School learner</w:t>
            </w:r>
            <w:r w:rsidR="007F600D" w:rsidRPr="0012137E">
              <w:rPr>
                <w:rFonts w:asciiTheme="majorHAnsi" w:hAnsiTheme="majorHAnsi" w:cstheme="majorHAnsi"/>
                <w:color w:val="00B050"/>
              </w:rPr>
              <w:t xml:space="preserve"> lens</w:t>
            </w:r>
            <w:r w:rsidRPr="0012137E">
              <w:rPr>
                <w:rFonts w:asciiTheme="majorHAnsi" w:hAnsiTheme="majorHAnsi" w:cstheme="majorHAnsi"/>
                <w:color w:val="00B050"/>
              </w:rPr>
              <w:t>.</w:t>
            </w:r>
          </w:p>
          <w:p w14:paraId="452F8A9E"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Staff routinely evidence PEP-informed, SEND-aware planning and impact across the learner’s </w:t>
            </w:r>
            <w:proofErr w:type="spellStart"/>
            <w:r>
              <w:rPr>
                <w:rFonts w:ascii="Calibri" w:hAnsi="Calibri" w:cs="Calibri"/>
                <w:color w:val="00B050"/>
              </w:rPr>
              <w:t>programme</w:t>
            </w:r>
            <w:proofErr w:type="spellEnd"/>
            <w:r>
              <w:rPr>
                <w:rFonts w:ascii="Calibri" w:hAnsi="Calibri" w:cs="Calibri"/>
                <w:color w:val="00B050"/>
              </w:rPr>
              <w:t>.</w:t>
            </w:r>
          </w:p>
          <w:p w14:paraId="6233D143" w14:textId="17F71964"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19B6A60E" w14:textId="77777777" w:rsidTr="00A5776D">
        <w:trPr>
          <w:trHeight w:val="528"/>
        </w:trPr>
        <w:tc>
          <w:tcPr>
            <w:cnfStyle w:val="001000000000" w:firstRow="0" w:lastRow="0" w:firstColumn="1" w:lastColumn="0" w:oddVBand="0" w:evenVBand="0" w:oddHBand="0" w:evenHBand="0" w:firstRowFirstColumn="0" w:firstRowLastColumn="0" w:lastRowFirstColumn="0" w:lastRowLastColumn="0"/>
            <w:tcW w:w="14091" w:type="dxa"/>
            <w:gridSpan w:val="5"/>
          </w:tcPr>
          <w:p w14:paraId="50EC5A07"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17184909" w14:textId="070D65D2" w:rsidR="00167BFA" w:rsidRPr="0012137E" w:rsidRDefault="00167BFA">
            <w:pPr>
              <w:rPr>
                <w:rFonts w:asciiTheme="majorHAnsi" w:hAnsiTheme="majorHAnsi" w:cstheme="majorHAnsi"/>
                <w:b w:val="0"/>
                <w:bCs w:val="0"/>
              </w:rPr>
            </w:pPr>
          </w:p>
        </w:tc>
      </w:tr>
      <w:tr w:rsidR="00454771" w:rsidRPr="0012137E" w14:paraId="7CF99E6C" w14:textId="77777777" w:rsidTr="00A5776D">
        <w:trPr>
          <w:cnfStyle w:val="000000100000" w:firstRow="0" w:lastRow="0" w:firstColumn="0" w:lastColumn="0" w:oddVBand="0" w:evenVBand="0" w:oddHBand="1" w:evenHBand="0" w:firstRowFirstColumn="0" w:firstRowLastColumn="0" w:lastRowFirstColumn="0" w:lastRowLastColumn="0"/>
          <w:trHeight w:val="1888"/>
        </w:trPr>
        <w:tc>
          <w:tcPr>
            <w:cnfStyle w:val="001000000000" w:firstRow="0" w:lastRow="0" w:firstColumn="1" w:lastColumn="0" w:oddVBand="0" w:evenVBand="0" w:oddHBand="0" w:evenHBand="0" w:firstRowFirstColumn="0" w:firstRowLastColumn="0" w:lastRowFirstColumn="0" w:lastRowLastColumn="0"/>
            <w:tcW w:w="783" w:type="dxa"/>
            <w:tcBorders>
              <w:top w:val="none" w:sz="0" w:space="0" w:color="auto"/>
              <w:left w:val="none" w:sz="0" w:space="0" w:color="auto"/>
              <w:bottom w:val="none" w:sz="0" w:space="0" w:color="auto"/>
            </w:tcBorders>
          </w:tcPr>
          <w:p w14:paraId="251B8DA8" w14:textId="77777777" w:rsidR="00576389" w:rsidRPr="0012137E" w:rsidRDefault="007F600D">
            <w:pPr>
              <w:rPr>
                <w:rFonts w:asciiTheme="majorHAnsi" w:hAnsiTheme="majorHAnsi" w:cstheme="majorHAnsi"/>
              </w:rPr>
            </w:pPr>
            <w:r w:rsidRPr="0012137E">
              <w:rPr>
                <w:rFonts w:asciiTheme="majorHAnsi" w:hAnsiTheme="majorHAnsi" w:cstheme="majorHAnsi"/>
              </w:rPr>
              <w:t>1.2a</w:t>
            </w:r>
          </w:p>
        </w:tc>
        <w:tc>
          <w:tcPr>
            <w:tcW w:w="2869" w:type="dxa"/>
            <w:tcBorders>
              <w:top w:val="none" w:sz="0" w:space="0" w:color="auto"/>
              <w:bottom w:val="none" w:sz="0" w:space="0" w:color="auto"/>
            </w:tcBorders>
          </w:tcPr>
          <w:p w14:paraId="2D163DC6"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Governance and senior leadership</w:t>
            </w:r>
          </w:p>
        </w:tc>
        <w:tc>
          <w:tcPr>
            <w:tcW w:w="3402" w:type="dxa"/>
            <w:tcBorders>
              <w:top w:val="none" w:sz="0" w:space="0" w:color="auto"/>
              <w:bottom w:val="none" w:sz="0" w:space="0" w:color="auto"/>
            </w:tcBorders>
          </w:tcPr>
          <w:p w14:paraId="2FDDFD9A"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understands responsibilities.</w:t>
            </w:r>
          </w:p>
          <w:p w14:paraId="494CA34E" w14:textId="06A903A5"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Governors receive periodic CLA updates.</w:t>
            </w:r>
          </w:p>
        </w:tc>
        <w:tc>
          <w:tcPr>
            <w:tcW w:w="3544" w:type="dxa"/>
            <w:tcBorders>
              <w:top w:val="none" w:sz="0" w:space="0" w:color="auto"/>
              <w:bottom w:val="none" w:sz="0" w:space="0" w:color="auto"/>
            </w:tcBorders>
          </w:tcPr>
          <w:p w14:paraId="441CB8DA"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Named governor meets DT.</w:t>
            </w:r>
          </w:p>
          <w:p w14:paraId="74CF18C5"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Board provides robust challenge on inclusion, safeguarding, attendance, outcomes, compliance and whether pupils achieve, belong and thrive.</w:t>
            </w:r>
          </w:p>
          <w:p w14:paraId="1C21C107" w14:textId="03A890FE"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93" w:type="dxa"/>
            <w:tcBorders>
              <w:top w:val="none" w:sz="0" w:space="0" w:color="auto"/>
              <w:bottom w:val="none" w:sz="0" w:space="0" w:color="auto"/>
              <w:right w:val="none" w:sz="0" w:space="0" w:color="auto"/>
            </w:tcBorders>
          </w:tcPr>
          <w:p w14:paraId="481F0FCB"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DT is in SLT or has direct access.</w:t>
            </w:r>
          </w:p>
          <w:p w14:paraId="2D94340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Governor challenge shapes policy, resourcing, safeguarding culture, inclusion strategy and improvement priorities.</w:t>
            </w:r>
          </w:p>
          <w:p w14:paraId="55F6ED47" w14:textId="27E9D34A"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Improvements are evidenced, including equitable consideration for all Virtual School learners.</w:t>
            </w:r>
          </w:p>
        </w:tc>
      </w:tr>
      <w:tr w:rsidR="00167BFA" w:rsidRPr="0012137E" w14:paraId="17DDC1BD" w14:textId="77777777" w:rsidTr="00A5776D">
        <w:trPr>
          <w:trHeight w:val="144"/>
        </w:trPr>
        <w:tc>
          <w:tcPr>
            <w:cnfStyle w:val="001000000000" w:firstRow="0" w:lastRow="0" w:firstColumn="1" w:lastColumn="0" w:oddVBand="0" w:evenVBand="0" w:oddHBand="0" w:evenHBand="0" w:firstRowFirstColumn="0" w:firstRowLastColumn="0" w:lastRowFirstColumn="0" w:lastRowLastColumn="0"/>
            <w:tcW w:w="14091" w:type="dxa"/>
            <w:gridSpan w:val="5"/>
          </w:tcPr>
          <w:p w14:paraId="6C849331"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7A1F2510" w14:textId="4DB06E65" w:rsidR="00167BFA" w:rsidRPr="0012137E" w:rsidRDefault="00167BFA">
            <w:pPr>
              <w:rPr>
                <w:rFonts w:asciiTheme="majorHAnsi" w:hAnsiTheme="majorHAnsi" w:cstheme="majorHAnsi"/>
                <w:b w:val="0"/>
                <w:bCs w:val="0"/>
              </w:rPr>
            </w:pPr>
          </w:p>
        </w:tc>
      </w:tr>
      <w:tr w:rsidR="001D3D42" w14:paraId="658E03EF" w14:textId="77777777" w:rsidTr="00A5776D">
        <w:tblPrEx>
          <w:tblBorders>
            <w:top w:val="single" w:sz="8" w:space="0" w:color="4F81BD" w:themeColor="accent1"/>
            <w:left w:val="single" w:sz="8" w:space="0" w:color="4F81BD" w:themeColor="accent1"/>
            <w:bottom w:val="single" w:sz="8" w:space="0" w:color="4F81BD" w:themeColor="accent1"/>
            <w:right w:val="single" w:sz="8" w:space="0" w:color="4F81BD" w:themeColor="accent1"/>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8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D24ADE1" w14:textId="77777777" w:rsidR="001D3D42" w:rsidRPr="00880402" w:rsidRDefault="001D3D42">
            <w:pPr>
              <w:rPr>
                <w:kern w:val="2"/>
                <w:lang w:val="en-GB" w:eastAsia="en-GB"/>
                <w14:ligatures w14:val="standardContextual"/>
              </w:rPr>
            </w:pPr>
            <w:r w:rsidRPr="00880402">
              <w:rPr>
                <w:rFonts w:ascii="Calibri" w:hAnsi="Calibri" w:cs="Calibri"/>
              </w:rPr>
              <w:t>1.2b</w:t>
            </w:r>
          </w:p>
        </w:tc>
        <w:tc>
          <w:tcPr>
            <w:tcW w:w="2869" w:type="dxa"/>
            <w:tcBorders>
              <w:top w:val="nil"/>
              <w:left w:val="nil"/>
              <w:bottom w:val="single" w:sz="8" w:space="0" w:color="000000"/>
              <w:right w:val="single" w:sz="8" w:space="0" w:color="000000"/>
            </w:tcBorders>
            <w:tcMar>
              <w:top w:w="0" w:type="dxa"/>
              <w:left w:w="108" w:type="dxa"/>
              <w:bottom w:w="0" w:type="dxa"/>
              <w:right w:w="108" w:type="dxa"/>
            </w:tcMar>
            <w:hideMark/>
          </w:tcPr>
          <w:p w14:paraId="532F4004" w14:textId="77777777" w:rsidR="001D3D42" w:rsidRDefault="001D3D42">
            <w:pPr>
              <w:cnfStyle w:val="000000100000" w:firstRow="0" w:lastRow="0" w:firstColumn="0" w:lastColumn="0" w:oddVBand="0" w:evenVBand="0" w:oddHBand="1" w:evenHBand="0" w:firstRowFirstColumn="0" w:firstRowLastColumn="0" w:lastRowFirstColumn="0" w:lastRowLastColumn="0"/>
            </w:pPr>
            <w:r>
              <w:rPr>
                <w:rFonts w:ascii="Calibri" w:hAnsi="Calibri" w:cs="Calibri"/>
              </w:rPr>
              <w:t>Capacity, training and post-16 expertise</w:t>
            </w:r>
          </w:p>
        </w:tc>
        <w:tc>
          <w:tcPr>
            <w:tcW w:w="3402" w:type="dxa"/>
            <w:tcBorders>
              <w:top w:val="nil"/>
              <w:left w:val="nil"/>
              <w:bottom w:val="single" w:sz="8" w:space="0" w:color="000000"/>
              <w:right w:val="single" w:sz="8" w:space="0" w:color="000000"/>
            </w:tcBorders>
            <w:tcMar>
              <w:top w:w="0" w:type="dxa"/>
              <w:left w:w="108" w:type="dxa"/>
              <w:bottom w:w="0" w:type="dxa"/>
              <w:right w:w="108" w:type="dxa"/>
            </w:tcMar>
            <w:hideMark/>
          </w:tcPr>
          <w:p w14:paraId="56B7CAE5" w14:textId="77777777" w:rsidR="001D3D42" w:rsidRDefault="001D3D42">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FF0000"/>
              </w:rPr>
              <w:t>A named lead has some protected time and understands the needs of Virtual School learners in post-16 pathways.</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14:paraId="63EF8D2E" w14:textId="77777777" w:rsidR="001D3D42" w:rsidRDefault="001D3D42">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E36C0A"/>
              </w:rPr>
              <w:t>Relevant staff receive role-specific CPD on care experience, SEND, transition, independence, attendance, safeguarding and progression planning.</w:t>
            </w:r>
          </w:p>
        </w:tc>
        <w:tc>
          <w:tcPr>
            <w:tcW w:w="3493" w:type="dxa"/>
            <w:tcBorders>
              <w:top w:val="nil"/>
              <w:left w:val="nil"/>
              <w:bottom w:val="single" w:sz="8" w:space="0" w:color="000000"/>
              <w:right w:val="single" w:sz="8" w:space="0" w:color="000000"/>
            </w:tcBorders>
            <w:tcMar>
              <w:top w:w="0" w:type="dxa"/>
              <w:left w:w="108" w:type="dxa"/>
              <w:bottom w:w="0" w:type="dxa"/>
              <w:right w:w="108" w:type="dxa"/>
            </w:tcMar>
            <w:hideMark/>
          </w:tcPr>
          <w:p w14:paraId="7807FD51" w14:textId="77777777" w:rsidR="001D3D42" w:rsidRDefault="001D3D42">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B050"/>
              </w:rPr>
              <w:t>Training is embedded in quality assurance and staff practice, with clear evidence that support improves engagement, retention, achievement and progression.</w:t>
            </w:r>
          </w:p>
        </w:tc>
      </w:tr>
      <w:tr w:rsidR="001D3D42" w14:paraId="40A92BD1" w14:textId="77777777" w:rsidTr="00A5776D">
        <w:tblPrEx>
          <w:tblBorders>
            <w:top w:val="single" w:sz="8" w:space="0" w:color="4F81BD" w:themeColor="accent1"/>
            <w:left w:val="single" w:sz="8" w:space="0" w:color="4F81BD" w:themeColor="accent1"/>
            <w:bottom w:val="single" w:sz="8" w:space="0" w:color="4F81BD" w:themeColor="accent1"/>
            <w:right w:val="single" w:sz="8" w:space="0" w:color="4F81BD" w:themeColor="accent1"/>
            <w:insideH w:val="none" w:sz="0" w:space="0" w:color="auto"/>
            <w:insideV w:val="none" w:sz="0" w:space="0" w:color="auto"/>
          </w:tblBorders>
        </w:tblPrEx>
        <w:trPr>
          <w:trHeight w:val="144"/>
        </w:trPr>
        <w:tc>
          <w:tcPr>
            <w:cnfStyle w:val="001000000000" w:firstRow="0" w:lastRow="0" w:firstColumn="1" w:lastColumn="0" w:oddVBand="0" w:evenVBand="0" w:oddHBand="0" w:evenHBand="0" w:firstRowFirstColumn="0" w:firstRowLastColumn="0" w:lastRowFirstColumn="0" w:lastRowLastColumn="0"/>
            <w:tcW w:w="14091"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AF11611" w14:textId="77777777" w:rsidR="001D3D42" w:rsidRDefault="001D3D42">
            <w:pPr>
              <w:rPr>
                <w:rFonts w:ascii="Calibri" w:hAnsi="Calibri" w:cs="Calibri"/>
                <w:b w:val="0"/>
                <w:bCs w:val="0"/>
              </w:rPr>
            </w:pPr>
            <w:r w:rsidRPr="00880402">
              <w:rPr>
                <w:rFonts w:ascii="Calibri" w:hAnsi="Calibri" w:cs="Calibri"/>
              </w:rPr>
              <w:t>Comments</w:t>
            </w:r>
          </w:p>
          <w:p w14:paraId="2F3093B6" w14:textId="77777777" w:rsidR="00E61B60" w:rsidRPr="00E61B60" w:rsidRDefault="00E61B60">
            <w:pPr>
              <w:rPr>
                <w:rFonts w:asciiTheme="majorHAnsi" w:hAnsiTheme="majorHAnsi" w:cstheme="majorHAnsi"/>
                <w:b w:val="0"/>
                <w:bCs w:val="0"/>
                <w:kern w:val="2"/>
                <w:lang w:val="en-GB" w:eastAsia="en-GB"/>
                <w14:ligatures w14:val="standardContextual"/>
              </w:rPr>
            </w:pPr>
          </w:p>
          <w:p w14:paraId="2DE83795" w14:textId="77777777" w:rsidR="001D3D42" w:rsidRDefault="001D3D42"/>
        </w:tc>
      </w:tr>
      <w:tr w:rsidR="00454771" w:rsidRPr="0012137E" w14:paraId="12701CDF" w14:textId="77777777" w:rsidTr="00A5776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83" w:type="dxa"/>
            <w:tcBorders>
              <w:top w:val="none" w:sz="0" w:space="0" w:color="auto"/>
              <w:left w:val="none" w:sz="0" w:space="0" w:color="auto"/>
              <w:bottom w:val="none" w:sz="0" w:space="0" w:color="auto"/>
            </w:tcBorders>
          </w:tcPr>
          <w:p w14:paraId="0F3F8914" w14:textId="6282FB89" w:rsidR="00576389" w:rsidRPr="0012137E" w:rsidRDefault="007F600D">
            <w:pPr>
              <w:rPr>
                <w:rFonts w:asciiTheme="majorHAnsi" w:hAnsiTheme="majorHAnsi" w:cstheme="majorHAnsi"/>
              </w:rPr>
            </w:pPr>
            <w:r w:rsidRPr="0012137E">
              <w:rPr>
                <w:rFonts w:asciiTheme="majorHAnsi" w:hAnsiTheme="majorHAnsi" w:cstheme="majorHAnsi"/>
              </w:rPr>
              <w:t>1.2</w:t>
            </w:r>
            <w:r w:rsidR="00880402">
              <w:rPr>
                <w:rFonts w:asciiTheme="majorHAnsi" w:hAnsiTheme="majorHAnsi" w:cstheme="majorHAnsi"/>
              </w:rPr>
              <w:t>c</w:t>
            </w:r>
          </w:p>
        </w:tc>
        <w:tc>
          <w:tcPr>
            <w:tcW w:w="2869" w:type="dxa"/>
            <w:tcBorders>
              <w:top w:val="none" w:sz="0" w:space="0" w:color="auto"/>
              <w:bottom w:val="none" w:sz="0" w:space="0" w:color="auto"/>
            </w:tcBorders>
          </w:tcPr>
          <w:p w14:paraId="137A70DA"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DT capacity, training and time</w:t>
            </w:r>
          </w:p>
        </w:tc>
        <w:tc>
          <w:tcPr>
            <w:tcW w:w="3402" w:type="dxa"/>
            <w:tcBorders>
              <w:top w:val="none" w:sz="0" w:space="0" w:color="auto"/>
              <w:bottom w:val="none" w:sz="0" w:space="0" w:color="auto"/>
            </w:tcBorders>
          </w:tcPr>
          <w:p w14:paraId="5B481198" w14:textId="6550E31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attended introductory training. Some protected time is allocated.</w:t>
            </w:r>
          </w:p>
        </w:tc>
        <w:tc>
          <w:tcPr>
            <w:tcW w:w="3544" w:type="dxa"/>
            <w:tcBorders>
              <w:top w:val="none" w:sz="0" w:space="0" w:color="auto"/>
              <w:bottom w:val="none" w:sz="0" w:space="0" w:color="auto"/>
            </w:tcBorders>
          </w:tcPr>
          <w:p w14:paraId="05708887"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DT receives role</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specific CPD and sufficient non</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contact time.</w:t>
            </w:r>
          </w:p>
          <w:p w14:paraId="76D7C91C" w14:textId="1F41402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DT provides timely advice to staff and governors.</w:t>
            </w:r>
          </w:p>
        </w:tc>
        <w:tc>
          <w:tcPr>
            <w:tcW w:w="3493" w:type="dxa"/>
            <w:tcBorders>
              <w:top w:val="none" w:sz="0" w:space="0" w:color="auto"/>
              <w:bottom w:val="none" w:sz="0" w:space="0" w:color="auto"/>
              <w:right w:val="none" w:sz="0" w:space="0" w:color="auto"/>
            </w:tcBorders>
          </w:tcPr>
          <w:p w14:paraId="63520BC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DT </w:t>
            </w:r>
            <w:proofErr w:type="gramStart"/>
            <w:r>
              <w:rPr>
                <w:rFonts w:ascii="Calibri" w:hAnsi="Calibri" w:cs="Calibri"/>
                <w:color w:val="00B050"/>
              </w:rPr>
              <w:t>curates</w:t>
            </w:r>
            <w:proofErr w:type="gramEnd"/>
            <w:r>
              <w:rPr>
                <w:rFonts w:ascii="Calibri" w:hAnsi="Calibri" w:cs="Calibri"/>
                <w:color w:val="00B050"/>
              </w:rPr>
              <w:t xml:space="preserve"> whole-school CPD on supporting Virtual School learners, including attachment, trauma-informed practice, SEND, medical needs, allergy awareness where relevant, safeguarding and DT duties.</w:t>
            </w:r>
          </w:p>
          <w:p w14:paraId="4F4B2FA8" w14:textId="4DB825A3"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Uptake and impact are monitored.</w:t>
            </w:r>
          </w:p>
        </w:tc>
      </w:tr>
      <w:tr w:rsidR="00167BFA" w:rsidRPr="0012137E" w14:paraId="7EDC461C" w14:textId="77777777" w:rsidTr="00A5776D">
        <w:trPr>
          <w:trHeight w:val="144"/>
        </w:trPr>
        <w:tc>
          <w:tcPr>
            <w:cnfStyle w:val="001000000000" w:firstRow="0" w:lastRow="0" w:firstColumn="1" w:lastColumn="0" w:oddVBand="0" w:evenVBand="0" w:oddHBand="0" w:evenHBand="0" w:firstRowFirstColumn="0" w:firstRowLastColumn="0" w:lastRowFirstColumn="0" w:lastRowLastColumn="0"/>
            <w:tcW w:w="14091" w:type="dxa"/>
            <w:gridSpan w:val="5"/>
          </w:tcPr>
          <w:p w14:paraId="577C6A5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7A6A386" w14:textId="2D103069" w:rsidR="00167BFA" w:rsidRPr="0012137E" w:rsidRDefault="00167BFA">
            <w:pPr>
              <w:rPr>
                <w:rFonts w:asciiTheme="majorHAnsi" w:hAnsiTheme="majorHAnsi" w:cstheme="majorHAnsi"/>
                <w:b w:val="0"/>
                <w:bCs w:val="0"/>
              </w:rPr>
            </w:pPr>
          </w:p>
        </w:tc>
      </w:tr>
      <w:tr w:rsidR="00E40FFE" w:rsidRPr="0012137E" w14:paraId="7D2D259E" w14:textId="77777777" w:rsidTr="00A5776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783" w:type="dxa"/>
            <w:tcBorders>
              <w:top w:val="none" w:sz="0" w:space="0" w:color="auto"/>
              <w:left w:val="none" w:sz="0" w:space="0" w:color="auto"/>
              <w:bottom w:val="none" w:sz="0" w:space="0" w:color="auto"/>
            </w:tcBorders>
          </w:tcPr>
          <w:p w14:paraId="43C85636" w14:textId="4B433CF3" w:rsidR="006127EB" w:rsidRPr="0012137E" w:rsidRDefault="006127EB" w:rsidP="006127EB">
            <w:pPr>
              <w:rPr>
                <w:rFonts w:asciiTheme="majorHAnsi" w:hAnsiTheme="majorHAnsi" w:cstheme="majorHAnsi"/>
              </w:rPr>
            </w:pPr>
            <w:r w:rsidRPr="0012137E">
              <w:rPr>
                <w:rFonts w:asciiTheme="majorHAnsi" w:hAnsiTheme="majorHAnsi" w:cstheme="majorHAnsi"/>
              </w:rPr>
              <w:t>1.5</w:t>
            </w:r>
          </w:p>
        </w:tc>
        <w:tc>
          <w:tcPr>
            <w:tcW w:w="2869" w:type="dxa"/>
            <w:tcBorders>
              <w:top w:val="none" w:sz="0" w:space="0" w:color="auto"/>
              <w:bottom w:val="none" w:sz="0" w:space="0" w:color="auto"/>
            </w:tcBorders>
          </w:tcPr>
          <w:p w14:paraId="76A2E407"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Status of the Designated Teacher / lead professional</w:t>
            </w:r>
          </w:p>
          <w:p w14:paraId="3A928272" w14:textId="5F951DBE"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02" w:type="dxa"/>
            <w:tcBorders>
              <w:top w:val="none" w:sz="0" w:space="0" w:color="auto"/>
              <w:bottom w:val="none" w:sz="0" w:space="0" w:color="auto"/>
            </w:tcBorders>
          </w:tcPr>
          <w:p w14:paraId="6D972B3C"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 xml:space="preserve">The Designated Teacher or lead professional liaises with senior leaders to ensure Virtual School learners are </w:t>
            </w:r>
            <w:proofErr w:type="spellStart"/>
            <w:r>
              <w:rPr>
                <w:rFonts w:ascii="Calibri" w:hAnsi="Calibri" w:cs="Calibri"/>
                <w:color w:val="FF0000"/>
              </w:rPr>
              <w:t>recognised</w:t>
            </w:r>
            <w:proofErr w:type="spellEnd"/>
            <w:r>
              <w:rPr>
                <w:rFonts w:ascii="Calibri" w:hAnsi="Calibri" w:cs="Calibri"/>
                <w:color w:val="FF0000"/>
              </w:rPr>
              <w:t xml:space="preserve"> as a priority group within the setting.</w:t>
            </w:r>
          </w:p>
          <w:p w14:paraId="77A03140" w14:textId="5502F5A9"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0000"/>
              </w:rPr>
            </w:pPr>
          </w:p>
        </w:tc>
        <w:tc>
          <w:tcPr>
            <w:tcW w:w="3544" w:type="dxa"/>
            <w:tcBorders>
              <w:top w:val="none" w:sz="0" w:space="0" w:color="auto"/>
              <w:bottom w:val="none" w:sz="0" w:space="0" w:color="auto"/>
            </w:tcBorders>
          </w:tcPr>
          <w:p w14:paraId="59E4B246"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The Designated Teacher or lead professional has direct access to senior leaders and uses this position to reflect the needs of Virtual School learners when pathways, support arrangements and policies are reviewed.</w:t>
            </w:r>
          </w:p>
          <w:p w14:paraId="578E6A12" w14:textId="53F43010"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p>
        </w:tc>
        <w:tc>
          <w:tcPr>
            <w:tcW w:w="3493" w:type="dxa"/>
            <w:tcBorders>
              <w:top w:val="none" w:sz="0" w:space="0" w:color="auto"/>
              <w:bottom w:val="none" w:sz="0" w:space="0" w:color="auto"/>
              <w:right w:val="none" w:sz="0" w:space="0" w:color="auto"/>
            </w:tcBorders>
          </w:tcPr>
          <w:p w14:paraId="084C4A34"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The Designated Teacher or lead professional has influence at senior leadership level and champions the needs of CLA and other Virtual School learners. They use statutory guidance for Designated Teachers to reflect on setting policies and ensure that approaches are sufficiently flexible to reflect the </w:t>
            </w:r>
            <w:r>
              <w:rPr>
                <w:rFonts w:ascii="Calibri" w:hAnsi="Calibri" w:cs="Calibri"/>
                <w:color w:val="00B050"/>
              </w:rPr>
              <w:lastRenderedPageBreak/>
              <w:t>needs of these learners.</w:t>
            </w:r>
          </w:p>
          <w:p w14:paraId="60FDA6BB" w14:textId="77777777" w:rsidR="00B60E83" w:rsidRPr="0012137E" w:rsidRDefault="00B60E83" w:rsidP="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The Designated Teacher works not only with CLA learners but also has an oversight of other learners in this category such as CWSW, PLAC and those in kinship care.</w:t>
            </w:r>
          </w:p>
          <w:p w14:paraId="57C6B57B" w14:textId="37153613"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6127EB" w:rsidRPr="0012137E" w14:paraId="43BCF40C" w14:textId="77777777" w:rsidTr="00A5776D">
        <w:trPr>
          <w:trHeight w:val="540"/>
        </w:trPr>
        <w:tc>
          <w:tcPr>
            <w:cnfStyle w:val="001000000000" w:firstRow="0" w:lastRow="0" w:firstColumn="1" w:lastColumn="0" w:oddVBand="0" w:evenVBand="0" w:oddHBand="0" w:evenHBand="0" w:firstRowFirstColumn="0" w:firstRowLastColumn="0" w:lastRowFirstColumn="0" w:lastRowLastColumn="0"/>
            <w:tcW w:w="14091" w:type="dxa"/>
            <w:gridSpan w:val="5"/>
          </w:tcPr>
          <w:p w14:paraId="6633EC20" w14:textId="77777777" w:rsidR="00B60E83" w:rsidRPr="0012137E" w:rsidRDefault="00B60E83" w:rsidP="00B60E83">
            <w:pPr>
              <w:rPr>
                <w:rFonts w:asciiTheme="majorHAnsi" w:hAnsiTheme="majorHAnsi" w:cstheme="majorHAnsi"/>
              </w:rPr>
            </w:pPr>
            <w:r w:rsidRPr="0012137E">
              <w:rPr>
                <w:rFonts w:asciiTheme="majorHAnsi" w:hAnsiTheme="majorHAnsi" w:cstheme="majorHAnsi"/>
              </w:rPr>
              <w:lastRenderedPageBreak/>
              <w:t>Comments</w:t>
            </w:r>
          </w:p>
          <w:p w14:paraId="0A0A2F15" w14:textId="77777777" w:rsidR="006127EB" w:rsidRPr="0012137E" w:rsidRDefault="006127EB" w:rsidP="006127EB">
            <w:pPr>
              <w:rPr>
                <w:rFonts w:asciiTheme="majorHAnsi" w:hAnsiTheme="majorHAnsi" w:cstheme="majorHAnsi"/>
                <w:b w:val="0"/>
                <w:bCs w:val="0"/>
              </w:rPr>
            </w:pPr>
          </w:p>
        </w:tc>
      </w:tr>
      <w:tr w:rsidR="00D8088A" w:rsidRPr="0012137E" w14:paraId="0107CA83" w14:textId="77777777" w:rsidTr="00A5776D">
        <w:trPr>
          <w:cnfStyle w:val="000000100000" w:firstRow="0" w:lastRow="0" w:firstColumn="0" w:lastColumn="0" w:oddVBand="0" w:evenVBand="0" w:oddHBand="1" w:evenHBand="0" w:firstRowFirstColumn="0" w:firstRowLastColumn="0" w:lastRowFirstColumn="0" w:lastRowLastColumn="0"/>
          <w:trHeight w:val="2152"/>
        </w:trPr>
        <w:tc>
          <w:tcPr>
            <w:cnfStyle w:val="001000000000" w:firstRow="0" w:lastRow="0" w:firstColumn="1" w:lastColumn="0" w:oddVBand="0" w:evenVBand="0" w:oddHBand="0" w:evenHBand="0" w:firstRowFirstColumn="0" w:firstRowLastColumn="0" w:lastRowFirstColumn="0" w:lastRowLastColumn="0"/>
            <w:tcW w:w="783" w:type="dxa"/>
            <w:tcBorders>
              <w:top w:val="none" w:sz="0" w:space="0" w:color="auto"/>
              <w:left w:val="none" w:sz="0" w:space="0" w:color="auto"/>
              <w:bottom w:val="none" w:sz="0" w:space="0" w:color="auto"/>
            </w:tcBorders>
          </w:tcPr>
          <w:p w14:paraId="2EDDB1E5" w14:textId="59D16077" w:rsidR="00797CC0" w:rsidRPr="0012137E" w:rsidRDefault="00797CC0" w:rsidP="007F600D">
            <w:pPr>
              <w:rPr>
                <w:rFonts w:asciiTheme="majorHAnsi" w:hAnsiTheme="majorHAnsi" w:cstheme="majorHAnsi"/>
              </w:rPr>
            </w:pPr>
            <w:r w:rsidRPr="0012137E">
              <w:rPr>
                <w:rFonts w:asciiTheme="majorHAnsi" w:hAnsiTheme="majorHAnsi" w:cstheme="majorHAnsi"/>
              </w:rPr>
              <w:t>1.6</w:t>
            </w:r>
          </w:p>
        </w:tc>
        <w:tc>
          <w:tcPr>
            <w:tcW w:w="2869" w:type="dxa"/>
            <w:tcBorders>
              <w:top w:val="none" w:sz="0" w:space="0" w:color="auto"/>
              <w:bottom w:val="none" w:sz="0" w:space="0" w:color="auto"/>
            </w:tcBorders>
          </w:tcPr>
          <w:p w14:paraId="59BC60C4"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Learner Voice</w:t>
            </w:r>
          </w:p>
          <w:p w14:paraId="09FE5977" w14:textId="2AB76C24"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02" w:type="dxa"/>
            <w:tcBorders>
              <w:top w:val="none" w:sz="0" w:space="0" w:color="auto"/>
              <w:bottom w:val="none" w:sz="0" w:space="0" w:color="auto"/>
            </w:tcBorders>
          </w:tcPr>
          <w:p w14:paraId="57FB8FF4"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The setting regularly seeks the views of Virtual School learners.</w:t>
            </w:r>
          </w:p>
          <w:p w14:paraId="7DBAD157" w14:textId="02A6E714"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544" w:type="dxa"/>
            <w:tcBorders>
              <w:top w:val="none" w:sz="0" w:space="0" w:color="auto"/>
              <w:bottom w:val="none" w:sz="0" w:space="0" w:color="auto"/>
            </w:tcBorders>
          </w:tcPr>
          <w:p w14:paraId="3B977BAF"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The setting regularly seeks the views of Virtual School learners and ensures these views influence policies, support and pathway planning.</w:t>
            </w:r>
          </w:p>
          <w:p w14:paraId="02FDEFC5" w14:textId="58B1E47D"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93" w:type="dxa"/>
            <w:tcBorders>
              <w:top w:val="none" w:sz="0" w:space="0" w:color="auto"/>
              <w:bottom w:val="none" w:sz="0" w:space="0" w:color="auto"/>
              <w:right w:val="none" w:sz="0" w:space="0" w:color="auto"/>
            </w:tcBorders>
          </w:tcPr>
          <w:p w14:paraId="400DAF1C" w14:textId="77777777" w:rsidR="001D3D42" w:rsidRDefault="001D3D42">
            <w:pPr>
              <w:jc w:val="both"/>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The setting regularly seeks the views of Virtual School learners and can evidence how these views have influenced practice, support planning and progression outcomes.</w:t>
            </w:r>
          </w:p>
          <w:p w14:paraId="600B268D"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6D2D37B"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9C1D81" w:rsidRPr="0012137E" w14:paraId="64A4E08D" w14:textId="77777777" w:rsidTr="00A5776D">
        <w:trPr>
          <w:trHeight w:val="540"/>
        </w:trPr>
        <w:tc>
          <w:tcPr>
            <w:cnfStyle w:val="001000000000" w:firstRow="0" w:lastRow="0" w:firstColumn="1" w:lastColumn="0" w:oddVBand="0" w:evenVBand="0" w:oddHBand="0" w:evenHBand="0" w:firstRowFirstColumn="0" w:firstRowLastColumn="0" w:lastRowFirstColumn="0" w:lastRowLastColumn="0"/>
            <w:tcW w:w="14091" w:type="dxa"/>
            <w:gridSpan w:val="5"/>
          </w:tcPr>
          <w:p w14:paraId="22F0B93E" w14:textId="77777777" w:rsidR="00797CC0" w:rsidRPr="0012137E" w:rsidRDefault="00797CC0" w:rsidP="007F600D">
            <w:pPr>
              <w:rPr>
                <w:rFonts w:asciiTheme="majorHAnsi" w:hAnsiTheme="majorHAnsi" w:cstheme="majorHAnsi"/>
              </w:rPr>
            </w:pPr>
            <w:r w:rsidRPr="0012137E">
              <w:rPr>
                <w:rFonts w:asciiTheme="majorHAnsi" w:hAnsiTheme="majorHAnsi" w:cstheme="majorHAnsi"/>
              </w:rPr>
              <w:t>Comments</w:t>
            </w:r>
          </w:p>
          <w:p w14:paraId="07FF351A" w14:textId="77777777" w:rsidR="00797CC0" w:rsidRPr="0012137E" w:rsidRDefault="00797CC0" w:rsidP="007F600D">
            <w:pPr>
              <w:rPr>
                <w:rFonts w:asciiTheme="majorHAnsi" w:hAnsiTheme="majorHAnsi" w:cstheme="majorHAnsi"/>
                <w:b w:val="0"/>
                <w:bCs w:val="0"/>
              </w:rPr>
            </w:pPr>
          </w:p>
        </w:tc>
      </w:tr>
    </w:tbl>
    <w:p w14:paraId="2EB40111" w14:textId="77777777" w:rsidR="00576389" w:rsidRPr="0012137E" w:rsidRDefault="00576389">
      <w:pPr>
        <w:rPr>
          <w:rFonts w:asciiTheme="majorHAnsi" w:hAnsiTheme="majorHAnsi" w:cstheme="majorHAnsi"/>
        </w:rPr>
      </w:pPr>
    </w:p>
    <w:p w14:paraId="4A99C1E4" w14:textId="77777777" w:rsidR="00576389" w:rsidRPr="0012137E" w:rsidRDefault="007F600D">
      <w:pPr>
        <w:pStyle w:val="Heading2"/>
        <w:rPr>
          <w:rFonts w:cstheme="majorHAnsi"/>
          <w:color w:val="auto"/>
        </w:rPr>
      </w:pPr>
      <w:r w:rsidRPr="0012137E">
        <w:rPr>
          <w:rFonts w:cstheme="majorHAnsi"/>
          <w:color w:val="auto"/>
        </w:rPr>
        <w:t>2. Teaching, Learning &amp; Wider Support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2E271152"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07B02412"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0B646AA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65C77A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4466826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2BA6841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4133461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2BD046E4" w14:textId="77777777" w:rsidR="00576389" w:rsidRPr="0012137E" w:rsidRDefault="007F600D">
            <w:pPr>
              <w:rPr>
                <w:rFonts w:asciiTheme="majorHAnsi" w:hAnsiTheme="majorHAnsi" w:cstheme="majorHAnsi"/>
              </w:rPr>
            </w:pPr>
            <w:r w:rsidRPr="0012137E">
              <w:rPr>
                <w:rFonts w:asciiTheme="majorHAnsi" w:hAnsiTheme="majorHAnsi" w:cstheme="majorHAnsi"/>
              </w:rPr>
              <w:t>2.1</w:t>
            </w:r>
          </w:p>
        </w:tc>
        <w:tc>
          <w:tcPr>
            <w:tcW w:w="2835" w:type="dxa"/>
            <w:tcBorders>
              <w:top w:val="none" w:sz="0" w:space="0" w:color="auto"/>
              <w:bottom w:val="none" w:sz="0" w:space="0" w:color="auto"/>
            </w:tcBorders>
          </w:tcPr>
          <w:p w14:paraId="703C52F8"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Multi</w:t>
            </w:r>
            <w:r w:rsidRPr="0012137E">
              <w:rPr>
                <w:rFonts w:ascii="Cambria Math" w:hAnsi="Cambria Math" w:cs="Cambria Math"/>
              </w:rPr>
              <w:t>‑</w:t>
            </w:r>
            <w:r w:rsidRPr="0012137E">
              <w:rPr>
                <w:rFonts w:asciiTheme="majorHAnsi" w:hAnsiTheme="majorHAnsi" w:cstheme="majorHAnsi"/>
              </w:rPr>
              <w:t>agency working and escalation</w:t>
            </w:r>
          </w:p>
        </w:tc>
        <w:tc>
          <w:tcPr>
            <w:tcW w:w="3486" w:type="dxa"/>
            <w:tcBorders>
              <w:top w:val="none" w:sz="0" w:space="0" w:color="auto"/>
              <w:bottom w:val="none" w:sz="0" w:space="0" w:color="auto"/>
            </w:tcBorders>
          </w:tcPr>
          <w:p w14:paraId="0DDEA670"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The setting is aware of the learner’s support network and attends required meetings, including PEPs, EHCP reviews and transition reviews where relevant.</w:t>
            </w:r>
          </w:p>
          <w:p w14:paraId="5547F27F" w14:textId="0337C71F"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49B232A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Agencies are kept informed, especially where progress is off</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track.</w:t>
            </w:r>
          </w:p>
          <w:p w14:paraId="442EDC76" w14:textId="449EDD0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Referrals to panels/services are timely.</w:t>
            </w:r>
          </w:p>
        </w:tc>
        <w:tc>
          <w:tcPr>
            <w:tcW w:w="3486" w:type="dxa"/>
            <w:tcBorders>
              <w:top w:val="none" w:sz="0" w:space="0" w:color="auto"/>
              <w:bottom w:val="none" w:sz="0" w:space="0" w:color="auto"/>
              <w:right w:val="none" w:sz="0" w:space="0" w:color="auto"/>
            </w:tcBorders>
          </w:tcPr>
          <w:p w14:paraId="7B70C530"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Proactive, scheduled multi</w:t>
            </w:r>
            <w:r w:rsidRPr="0012137E">
              <w:rPr>
                <w:rFonts w:ascii="Cambria Math" w:hAnsi="Cambria Math" w:cs="Cambria Math"/>
                <w:color w:val="00B050"/>
              </w:rPr>
              <w:t>‑</w:t>
            </w:r>
            <w:r w:rsidRPr="0012137E">
              <w:rPr>
                <w:rFonts w:asciiTheme="majorHAnsi" w:hAnsiTheme="majorHAnsi" w:cstheme="majorHAnsi"/>
                <w:color w:val="00B050"/>
              </w:rPr>
              <w:t>agency planning anticipates risk.</w:t>
            </w:r>
          </w:p>
          <w:p w14:paraId="54CC6B0A" w14:textId="1A608C72"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Evaluation of complex cases informs policy and staff development.</w:t>
            </w:r>
          </w:p>
        </w:tc>
      </w:tr>
      <w:tr w:rsidR="00167BFA" w:rsidRPr="0012137E" w14:paraId="6191F482"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3477E296"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58697A9E" w14:textId="01177CBA" w:rsidR="00167BFA" w:rsidRPr="0012137E" w:rsidRDefault="00167BFA">
            <w:pPr>
              <w:rPr>
                <w:rFonts w:asciiTheme="majorHAnsi" w:hAnsiTheme="majorHAnsi" w:cstheme="majorHAnsi"/>
                <w:b w:val="0"/>
                <w:bCs w:val="0"/>
              </w:rPr>
            </w:pPr>
          </w:p>
        </w:tc>
      </w:tr>
      <w:tr w:rsidR="003A0003" w:rsidRPr="0012137E" w14:paraId="6B53782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7157417" w14:textId="77777777" w:rsidR="00576389" w:rsidRPr="0012137E" w:rsidRDefault="007F600D">
            <w:pPr>
              <w:rPr>
                <w:rFonts w:asciiTheme="majorHAnsi" w:hAnsiTheme="majorHAnsi" w:cstheme="majorHAnsi"/>
              </w:rPr>
            </w:pPr>
            <w:r w:rsidRPr="0012137E">
              <w:rPr>
                <w:rFonts w:asciiTheme="majorHAnsi" w:hAnsiTheme="majorHAnsi" w:cstheme="majorHAnsi"/>
              </w:rPr>
              <w:t>2.2</w:t>
            </w:r>
          </w:p>
        </w:tc>
        <w:tc>
          <w:tcPr>
            <w:tcW w:w="2835" w:type="dxa"/>
            <w:tcBorders>
              <w:top w:val="none" w:sz="0" w:space="0" w:color="auto"/>
              <w:bottom w:val="none" w:sz="0" w:space="0" w:color="auto"/>
            </w:tcBorders>
          </w:tcPr>
          <w:p w14:paraId="3D1380F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Carer/parent and social worker engagement</w:t>
            </w:r>
          </w:p>
        </w:tc>
        <w:tc>
          <w:tcPr>
            <w:tcW w:w="3486" w:type="dxa"/>
            <w:tcBorders>
              <w:top w:val="none" w:sz="0" w:space="0" w:color="auto"/>
              <w:bottom w:val="none" w:sz="0" w:space="0" w:color="auto"/>
            </w:tcBorders>
          </w:tcPr>
          <w:p w14:paraId="786AE48A"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Contact occurs at key points (consultations, alerts).</w:t>
            </w:r>
          </w:p>
          <w:p w14:paraId="3047E2DE" w14:textId="315E0253" w:rsidR="00B60E83" w:rsidRPr="0012137E" w:rsidRDefault="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Invitations to key meetings are shared in a timely way and attendance is encouraged and welcomed.</w:t>
            </w:r>
          </w:p>
        </w:tc>
        <w:tc>
          <w:tcPr>
            <w:tcW w:w="3486" w:type="dxa"/>
            <w:tcBorders>
              <w:top w:val="none" w:sz="0" w:space="0" w:color="auto"/>
              <w:bottom w:val="none" w:sz="0" w:space="0" w:color="auto"/>
            </w:tcBorders>
          </w:tcPr>
          <w:p w14:paraId="5901214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Regular two</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way communication supports learning and attendance; carer/SW insights shape provision.</w:t>
            </w:r>
          </w:p>
          <w:p w14:paraId="50D735A4" w14:textId="524C8EC2" w:rsidR="00B60E83" w:rsidRPr="0012137E" w:rsidRDefault="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 xml:space="preserve">All agencies are actively encouraged to share views about the learner's education and any barriers to success. These are then reflected in </w:t>
            </w:r>
            <w:r w:rsidRPr="0012137E">
              <w:rPr>
                <w:rFonts w:asciiTheme="majorHAnsi" w:hAnsiTheme="majorHAnsi" w:cstheme="majorHAnsi"/>
                <w:color w:val="E36C0A" w:themeColor="accent6" w:themeShade="BF"/>
              </w:rPr>
              <w:lastRenderedPageBreak/>
              <w:t>the provision.</w:t>
            </w:r>
          </w:p>
        </w:tc>
        <w:tc>
          <w:tcPr>
            <w:tcW w:w="3486" w:type="dxa"/>
            <w:tcBorders>
              <w:top w:val="none" w:sz="0" w:space="0" w:color="auto"/>
              <w:bottom w:val="none" w:sz="0" w:space="0" w:color="auto"/>
              <w:right w:val="none" w:sz="0" w:space="0" w:color="auto"/>
            </w:tcBorders>
          </w:tcPr>
          <w:p w14:paraId="73131FC9"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Co</w:t>
            </w:r>
            <w:r w:rsidRPr="0012137E">
              <w:rPr>
                <w:rFonts w:ascii="Cambria Math" w:hAnsi="Cambria Math" w:cs="Cambria Math"/>
                <w:color w:val="00B050"/>
              </w:rPr>
              <w:t>‑</w:t>
            </w:r>
            <w:r w:rsidRPr="0012137E">
              <w:rPr>
                <w:rFonts w:asciiTheme="majorHAnsi" w:hAnsiTheme="majorHAnsi" w:cstheme="majorHAnsi"/>
                <w:color w:val="00B050"/>
              </w:rPr>
              <w:t>designed strategies and review of impact.</w:t>
            </w:r>
          </w:p>
          <w:p w14:paraId="6B31A9FE" w14:textId="3FB748F9"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w:t>
            </w:r>
            <w:r w:rsidR="00B60E83" w:rsidRPr="0012137E">
              <w:rPr>
                <w:rFonts w:asciiTheme="majorHAnsi" w:hAnsiTheme="majorHAnsi" w:cstheme="majorHAnsi"/>
                <w:color w:val="00B050"/>
              </w:rPr>
              <w:t>ll voices are heard and reflected in plans for the learner.</w:t>
            </w:r>
          </w:p>
        </w:tc>
      </w:tr>
      <w:tr w:rsidR="00167BFA" w:rsidRPr="0012137E" w14:paraId="22D5F98C"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146DDEFD"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26E7B9F7" w14:textId="051D3DA2" w:rsidR="00167BFA" w:rsidRPr="0012137E" w:rsidRDefault="00167BFA">
            <w:pPr>
              <w:rPr>
                <w:rFonts w:asciiTheme="majorHAnsi" w:hAnsiTheme="majorHAnsi" w:cstheme="majorHAnsi"/>
                <w:b w:val="0"/>
                <w:bCs w:val="0"/>
              </w:rPr>
            </w:pPr>
          </w:p>
        </w:tc>
      </w:tr>
      <w:tr w:rsidR="00454771" w:rsidRPr="0012137E" w14:paraId="580D113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7C361668" w14:textId="540780CB" w:rsidR="00576389" w:rsidRPr="0012137E" w:rsidRDefault="007F600D">
            <w:pPr>
              <w:rPr>
                <w:rFonts w:asciiTheme="majorHAnsi" w:hAnsiTheme="majorHAnsi" w:cstheme="majorHAnsi"/>
              </w:rPr>
            </w:pPr>
            <w:r w:rsidRPr="0012137E">
              <w:rPr>
                <w:rFonts w:asciiTheme="majorHAnsi" w:hAnsiTheme="majorHAnsi" w:cstheme="majorHAnsi"/>
              </w:rPr>
              <w:t>2.</w:t>
            </w:r>
            <w:r w:rsidR="00797CC0" w:rsidRPr="0012137E">
              <w:rPr>
                <w:rFonts w:asciiTheme="majorHAnsi" w:hAnsiTheme="majorHAnsi" w:cstheme="majorHAnsi"/>
              </w:rPr>
              <w:t>3</w:t>
            </w:r>
          </w:p>
        </w:tc>
        <w:tc>
          <w:tcPr>
            <w:tcW w:w="2835" w:type="dxa"/>
            <w:tcBorders>
              <w:top w:val="none" w:sz="0" w:space="0" w:color="auto"/>
              <w:bottom w:val="none" w:sz="0" w:space="0" w:color="auto"/>
            </w:tcBorders>
          </w:tcPr>
          <w:p w14:paraId="42069FAC"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Staff guidance and training</w:t>
            </w:r>
          </w:p>
        </w:tc>
        <w:tc>
          <w:tcPr>
            <w:tcW w:w="3486" w:type="dxa"/>
            <w:tcBorders>
              <w:top w:val="none" w:sz="0" w:space="0" w:color="auto"/>
              <w:bottom w:val="none" w:sz="0" w:space="0" w:color="auto"/>
            </w:tcBorders>
          </w:tcPr>
          <w:p w14:paraId="035F09F9"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The DT or lead professional offers informal advice to tutors, assessors, pastoral staff and support staff as needed.</w:t>
            </w:r>
          </w:p>
          <w:p w14:paraId="1328681F" w14:textId="6AA97E4C"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16E4D285"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The DT or lead professional supports staff development on vulnerable groups and post-16 progression.</w:t>
            </w:r>
          </w:p>
          <w:p w14:paraId="102F308D" w14:textId="0E28F903"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 xml:space="preserve">Policies reference </w:t>
            </w:r>
            <w:r w:rsidR="00797CC0" w:rsidRPr="0012137E">
              <w:rPr>
                <w:rFonts w:asciiTheme="majorHAnsi" w:hAnsiTheme="majorHAnsi" w:cstheme="majorHAnsi"/>
                <w:color w:val="E36C0A" w:themeColor="accent6" w:themeShade="BF"/>
              </w:rPr>
              <w:t>Virtual School learner</w:t>
            </w:r>
            <w:r w:rsidRPr="0012137E">
              <w:rPr>
                <w:rFonts w:asciiTheme="majorHAnsi" w:hAnsiTheme="majorHAnsi" w:cstheme="majorHAnsi"/>
                <w:color w:val="E36C0A" w:themeColor="accent6" w:themeShade="BF"/>
              </w:rPr>
              <w:t xml:space="preserve"> needs.</w:t>
            </w:r>
          </w:p>
        </w:tc>
        <w:tc>
          <w:tcPr>
            <w:tcW w:w="3486" w:type="dxa"/>
            <w:tcBorders>
              <w:top w:val="none" w:sz="0" w:space="0" w:color="auto"/>
              <w:bottom w:val="none" w:sz="0" w:space="0" w:color="auto"/>
              <w:right w:val="none" w:sz="0" w:space="0" w:color="auto"/>
            </w:tcBorders>
          </w:tcPr>
          <w:p w14:paraId="1E90B326"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The DT or lead professional shares effective practice with the LA, Virtual School and other post-16 providers.</w:t>
            </w:r>
          </w:p>
          <w:p w14:paraId="7D66490A" w14:textId="743D2B48" w:rsidR="00797CC0" w:rsidRPr="0012137E" w:rsidRDefault="00797CC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Staff understanding of the needs of Virtual School learners is tracked and early intervention to support their learning is in place.</w:t>
            </w:r>
          </w:p>
        </w:tc>
      </w:tr>
      <w:tr w:rsidR="00167BFA" w:rsidRPr="0012137E" w14:paraId="7A8618C7"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6EC9B1E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9C375AC" w14:textId="7C22B140" w:rsidR="00167BFA" w:rsidRPr="0012137E" w:rsidRDefault="00167BFA">
            <w:pPr>
              <w:rPr>
                <w:rFonts w:asciiTheme="majorHAnsi" w:hAnsiTheme="majorHAnsi" w:cstheme="majorHAnsi"/>
                <w:b w:val="0"/>
                <w:bCs w:val="0"/>
              </w:rPr>
            </w:pPr>
          </w:p>
        </w:tc>
      </w:tr>
      <w:tr w:rsidR="003A0003" w:rsidRPr="0012137E" w14:paraId="26DAA486" w14:textId="77777777" w:rsidTr="007933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859A214" w14:textId="6899C761" w:rsidR="00576389" w:rsidRPr="0012137E" w:rsidRDefault="007F600D">
            <w:pPr>
              <w:rPr>
                <w:rFonts w:asciiTheme="majorHAnsi" w:hAnsiTheme="majorHAnsi" w:cstheme="majorHAnsi"/>
              </w:rPr>
            </w:pPr>
            <w:r w:rsidRPr="0012137E">
              <w:rPr>
                <w:rFonts w:asciiTheme="majorHAnsi" w:hAnsiTheme="majorHAnsi" w:cstheme="majorHAnsi"/>
              </w:rPr>
              <w:t>2.</w:t>
            </w:r>
            <w:r w:rsidR="00797CC0" w:rsidRPr="0012137E">
              <w:rPr>
                <w:rFonts w:asciiTheme="majorHAnsi" w:hAnsiTheme="majorHAnsi" w:cstheme="majorHAnsi"/>
              </w:rPr>
              <w:t>4</w:t>
            </w:r>
          </w:p>
        </w:tc>
        <w:tc>
          <w:tcPr>
            <w:tcW w:w="2835" w:type="dxa"/>
            <w:tcBorders>
              <w:top w:val="none" w:sz="0" w:space="0" w:color="auto"/>
              <w:bottom w:val="none" w:sz="0" w:space="0" w:color="auto"/>
            </w:tcBorders>
          </w:tcPr>
          <w:p w14:paraId="71AB96D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 xml:space="preserve">Curriculum access and </w:t>
            </w:r>
            <w:proofErr w:type="spellStart"/>
            <w:r w:rsidRPr="0012137E">
              <w:rPr>
                <w:rFonts w:asciiTheme="majorHAnsi" w:hAnsiTheme="majorHAnsi" w:cstheme="majorHAnsi"/>
              </w:rPr>
              <w:t>personalised</w:t>
            </w:r>
            <w:proofErr w:type="spellEnd"/>
            <w:r w:rsidRPr="0012137E">
              <w:rPr>
                <w:rFonts w:asciiTheme="majorHAnsi" w:hAnsiTheme="majorHAnsi" w:cstheme="majorHAnsi"/>
              </w:rPr>
              <w:t xml:space="preserve"> support</w:t>
            </w:r>
          </w:p>
        </w:tc>
        <w:tc>
          <w:tcPr>
            <w:tcW w:w="3486" w:type="dxa"/>
            <w:tcBorders>
              <w:top w:val="none" w:sz="0" w:space="0" w:color="auto"/>
              <w:bottom w:val="none" w:sz="0" w:space="0" w:color="auto"/>
            </w:tcBorders>
          </w:tcPr>
          <w:p w14:paraId="6E3FC8CA"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 xml:space="preserve">Support is provided within the learner’s </w:t>
            </w:r>
            <w:proofErr w:type="spellStart"/>
            <w:r>
              <w:rPr>
                <w:rFonts w:ascii="Calibri" w:hAnsi="Calibri" w:cs="Calibri"/>
                <w:color w:val="FF0000"/>
              </w:rPr>
              <w:t>programme</w:t>
            </w:r>
            <w:proofErr w:type="spellEnd"/>
            <w:r>
              <w:rPr>
                <w:rFonts w:ascii="Calibri" w:hAnsi="Calibri" w:cs="Calibri"/>
                <w:color w:val="FF0000"/>
              </w:rPr>
              <w:t xml:space="preserve"> or placement.</w:t>
            </w:r>
          </w:p>
          <w:p w14:paraId="1324CC96"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This is recorded in the PEP, support plan, EHCP review or learner record where relevant.</w:t>
            </w:r>
          </w:p>
          <w:p w14:paraId="5EC7353C" w14:textId="3FD2C03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7822AF32"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proofErr w:type="spellStart"/>
            <w:r>
              <w:rPr>
                <w:rFonts w:ascii="Calibri" w:hAnsi="Calibri" w:cs="Calibri"/>
                <w:color w:val="E36C0A"/>
              </w:rPr>
              <w:t>Personalised</w:t>
            </w:r>
            <w:proofErr w:type="spellEnd"/>
            <w:r>
              <w:rPr>
                <w:rFonts w:ascii="Calibri" w:hAnsi="Calibri" w:cs="Calibri"/>
                <w:color w:val="E36C0A"/>
              </w:rPr>
              <w:t xml:space="preserve"> support across learning, placement, independent study and unstructured time is planned and documented.</w:t>
            </w:r>
          </w:p>
          <w:p w14:paraId="7F319E5F" w14:textId="5E913933" w:rsidR="00655F18"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E36C0A" w:themeColor="accent6" w:themeShade="BF"/>
              </w:rPr>
              <w:t>Adaptive teaching is in place.</w:t>
            </w:r>
            <w:r w:rsidR="00655F18" w:rsidRPr="0012137E">
              <w:rPr>
                <w:rFonts w:asciiTheme="majorHAnsi" w:hAnsiTheme="majorHAnsi" w:cstheme="majorHAnsi"/>
                <w:color w:val="00B050"/>
              </w:rPr>
              <w:t xml:space="preserve"> </w:t>
            </w:r>
          </w:p>
          <w:p w14:paraId="505D6F6E"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 xml:space="preserve">If an alternative pathway, work placement or bespoke </w:t>
            </w:r>
            <w:proofErr w:type="spellStart"/>
            <w:r>
              <w:rPr>
                <w:rFonts w:ascii="Calibri" w:hAnsi="Calibri" w:cs="Calibri"/>
                <w:color w:val="E36C0A"/>
              </w:rPr>
              <w:t>programme</w:t>
            </w:r>
            <w:proofErr w:type="spellEnd"/>
            <w:r>
              <w:rPr>
                <w:rFonts w:ascii="Calibri" w:hAnsi="Calibri" w:cs="Calibri"/>
                <w:color w:val="E36C0A"/>
              </w:rPr>
              <w:t xml:space="preserve"> is used, it is part of a wider plan and is matched to the learner’s aspirations, needs and progression goals.</w:t>
            </w:r>
          </w:p>
          <w:p w14:paraId="1B522B5F" w14:textId="1DEE0C60" w:rsidR="00655F18" w:rsidRPr="0012137E" w:rsidRDefault="00655F1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3AABEE65"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A coherent offer, including mentoring, study support, SEMH support, medical needs support, careers guidance, employability and specialist provision where relevant, is integrated.</w:t>
            </w:r>
          </w:p>
          <w:p w14:paraId="72819617" w14:textId="77777777" w:rsidR="00793301" w:rsidRDefault="00793301">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B050"/>
              </w:rPr>
              <w:t>Inclusive pathways and options remain ambitious, curriculum-linked and quality-assured.</w:t>
            </w:r>
          </w:p>
          <w:p w14:paraId="272DF220"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Withdrawal from </w:t>
            </w:r>
            <w:proofErr w:type="spellStart"/>
            <w:r>
              <w:rPr>
                <w:rFonts w:ascii="Calibri" w:hAnsi="Calibri" w:cs="Calibri"/>
                <w:color w:val="00B050"/>
              </w:rPr>
              <w:t>programme</w:t>
            </w:r>
            <w:proofErr w:type="spellEnd"/>
            <w:r>
              <w:rPr>
                <w:rFonts w:ascii="Calibri" w:hAnsi="Calibri" w:cs="Calibri"/>
                <w:color w:val="00B050"/>
              </w:rPr>
              <w:t xml:space="preserve"> time for interventions is planned carefully and catch-up opportunities are in place to </w:t>
            </w:r>
            <w:proofErr w:type="spellStart"/>
            <w:r>
              <w:rPr>
                <w:rFonts w:ascii="Calibri" w:hAnsi="Calibri" w:cs="Calibri"/>
                <w:color w:val="00B050"/>
              </w:rPr>
              <w:t>minimise</w:t>
            </w:r>
            <w:proofErr w:type="spellEnd"/>
            <w:r>
              <w:rPr>
                <w:rFonts w:ascii="Calibri" w:hAnsi="Calibri" w:cs="Calibri"/>
                <w:color w:val="00B050"/>
              </w:rPr>
              <w:t xml:space="preserve"> loss of learning.</w:t>
            </w:r>
          </w:p>
          <w:p w14:paraId="3A56968E" w14:textId="5B495425" w:rsidR="00797CC0" w:rsidRPr="0012137E" w:rsidRDefault="00797CC0" w:rsidP="0079330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407200C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087CA6C8"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EDC9CA4" w14:textId="043CAA38" w:rsidR="00167BFA" w:rsidRPr="0012137E" w:rsidRDefault="00167BFA">
            <w:pPr>
              <w:rPr>
                <w:rFonts w:asciiTheme="majorHAnsi" w:hAnsiTheme="majorHAnsi" w:cstheme="majorHAnsi"/>
                <w:b w:val="0"/>
                <w:bCs w:val="0"/>
              </w:rPr>
            </w:pPr>
          </w:p>
        </w:tc>
      </w:tr>
    </w:tbl>
    <w:p w14:paraId="2CE6617A" w14:textId="77777777" w:rsidR="00576389" w:rsidRPr="0012137E" w:rsidRDefault="00576389">
      <w:pPr>
        <w:rPr>
          <w:rFonts w:asciiTheme="majorHAnsi" w:hAnsiTheme="majorHAnsi" w:cstheme="majorHAnsi"/>
        </w:rPr>
      </w:pPr>
    </w:p>
    <w:p w14:paraId="6672F306" w14:textId="77777777" w:rsidR="001D3D42" w:rsidRDefault="001D3D42" w:rsidP="001D3D42">
      <w:pPr>
        <w:pStyle w:val="Heading2"/>
        <w:rPr>
          <w:kern w:val="2"/>
          <w:lang w:val="en-GB" w:eastAsia="en-GB"/>
          <w14:ligatures w14:val="standardContextual"/>
        </w:rPr>
      </w:pPr>
      <w:r>
        <w:rPr>
          <w:color w:val="auto"/>
        </w:rPr>
        <w:t>3. Engagement, Attendance, Safety &amp; Intervention</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492BDE29"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81BCE84"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6DCE86C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7155E8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79D9348A"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1CC192D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6690F361" w14:textId="77777777" w:rsidTr="001D3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32F69560" w14:textId="77777777" w:rsidR="00576389" w:rsidRPr="0012137E" w:rsidRDefault="007F600D">
            <w:pPr>
              <w:rPr>
                <w:rFonts w:asciiTheme="majorHAnsi" w:hAnsiTheme="majorHAnsi" w:cstheme="majorHAnsi"/>
              </w:rPr>
            </w:pPr>
            <w:r w:rsidRPr="0012137E">
              <w:rPr>
                <w:rFonts w:asciiTheme="majorHAnsi" w:hAnsiTheme="majorHAnsi" w:cstheme="majorHAnsi"/>
              </w:rPr>
              <w:t>3.1</w:t>
            </w:r>
          </w:p>
        </w:tc>
        <w:tc>
          <w:tcPr>
            <w:tcW w:w="2835" w:type="dxa"/>
            <w:tcBorders>
              <w:top w:val="none" w:sz="0" w:space="0" w:color="auto"/>
              <w:bottom w:val="none" w:sz="0" w:space="0" w:color="auto"/>
            </w:tcBorders>
          </w:tcPr>
          <w:p w14:paraId="62130F01"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Engagement, retention and responsive support</w:t>
            </w:r>
          </w:p>
          <w:p w14:paraId="38CD4C7B" w14:textId="1BED0F93"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775F285B"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The setting monitors attendance, engagement, punctuality and retention for Virtual School learners and responds to emerging concerns.</w:t>
            </w:r>
          </w:p>
          <w:p w14:paraId="36FBE4E6" w14:textId="189C2678" w:rsidR="00655F18"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Pr>
                <w:rFonts w:ascii="Calibri" w:hAnsi="Calibri" w:cs="Calibri"/>
                <w:color w:val="FF0000"/>
              </w:rPr>
              <w:t xml:space="preserve">Support plans identify barriers to </w:t>
            </w:r>
            <w:r>
              <w:rPr>
                <w:rFonts w:ascii="Calibri" w:hAnsi="Calibri" w:cs="Calibri"/>
                <w:color w:val="FF0000"/>
              </w:rPr>
              <w:lastRenderedPageBreak/>
              <w:t>participation and include reasonable adjustments where needed.</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6E8B335E"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lastRenderedPageBreak/>
              <w:t>Learner, carer, social worker and Virtual School views inform support planning, including transition, attendance, wellbeing, curriculum access and progression.</w:t>
            </w:r>
          </w:p>
          <w:p w14:paraId="788919B4" w14:textId="6D3E940F"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Pr>
                <w:rFonts w:ascii="Calibri" w:hAnsi="Calibri" w:cs="Calibri"/>
                <w:color w:val="E36C0A"/>
              </w:rPr>
              <w:lastRenderedPageBreak/>
              <w:t>Interventions are reviewed for impact and adjusted promptly where progress or engagement is not secure.</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1C4DE5AB"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lastRenderedPageBreak/>
              <w:t>Data-led routines identify risk early and support sustained engagement, retention and progression.</w:t>
            </w:r>
          </w:p>
          <w:p w14:paraId="3EABF98A" w14:textId="7370978D"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Pr>
                <w:rFonts w:ascii="Calibri" w:hAnsi="Calibri" w:cs="Calibri"/>
                <w:color w:val="00B050"/>
              </w:rPr>
              <w:t xml:space="preserve">Support is </w:t>
            </w:r>
            <w:proofErr w:type="spellStart"/>
            <w:r>
              <w:rPr>
                <w:rFonts w:ascii="Calibri" w:hAnsi="Calibri" w:cs="Calibri"/>
                <w:color w:val="00B050"/>
              </w:rPr>
              <w:t>personalised</w:t>
            </w:r>
            <w:proofErr w:type="spellEnd"/>
            <w:r>
              <w:rPr>
                <w:rFonts w:ascii="Calibri" w:hAnsi="Calibri" w:cs="Calibri"/>
                <w:color w:val="00B050"/>
              </w:rPr>
              <w:t xml:space="preserve">, inclusive and ambitious, with clear evidence </w:t>
            </w:r>
            <w:r>
              <w:rPr>
                <w:rFonts w:ascii="Calibri" w:hAnsi="Calibri" w:cs="Calibri"/>
                <w:color w:val="00B050"/>
              </w:rPr>
              <w:lastRenderedPageBreak/>
              <w:t>that learners develop confidence, independence and readiness for further learning, employment or training.</w:t>
            </w:r>
          </w:p>
        </w:tc>
      </w:tr>
      <w:tr w:rsidR="00167BFA" w:rsidRPr="0012137E" w14:paraId="636C2FE0"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52A25B3A"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10D556B6" w14:textId="43168B14" w:rsidR="00167BFA" w:rsidRPr="0012137E" w:rsidRDefault="00167BFA">
            <w:pPr>
              <w:rPr>
                <w:rFonts w:asciiTheme="majorHAnsi" w:hAnsiTheme="majorHAnsi" w:cstheme="majorHAnsi"/>
                <w:b w:val="0"/>
                <w:bCs w:val="0"/>
              </w:rPr>
            </w:pPr>
          </w:p>
        </w:tc>
      </w:tr>
      <w:tr w:rsidR="003A0003" w:rsidRPr="0012137E" w14:paraId="4C82F8CB" w14:textId="77777777" w:rsidTr="001D3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1D5BEAE" w14:textId="77777777" w:rsidR="00576389" w:rsidRPr="0012137E" w:rsidRDefault="007F600D">
            <w:pPr>
              <w:rPr>
                <w:rFonts w:asciiTheme="majorHAnsi" w:hAnsiTheme="majorHAnsi" w:cstheme="majorHAnsi"/>
              </w:rPr>
            </w:pPr>
            <w:r w:rsidRPr="0012137E">
              <w:rPr>
                <w:rFonts w:asciiTheme="majorHAnsi" w:hAnsiTheme="majorHAnsi" w:cstheme="majorHAnsi"/>
              </w:rPr>
              <w:t>3.2</w:t>
            </w:r>
          </w:p>
        </w:tc>
        <w:tc>
          <w:tcPr>
            <w:tcW w:w="2835" w:type="dxa"/>
            <w:tcBorders>
              <w:top w:val="none" w:sz="0" w:space="0" w:color="auto"/>
              <w:bottom w:val="none" w:sz="0" w:space="0" w:color="auto"/>
            </w:tcBorders>
          </w:tcPr>
          <w:p w14:paraId="775061FB"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 xml:space="preserve">Bespoke </w:t>
            </w:r>
            <w:proofErr w:type="spellStart"/>
            <w:r>
              <w:rPr>
                <w:rFonts w:ascii="Calibri" w:hAnsi="Calibri" w:cs="Calibri"/>
              </w:rPr>
              <w:t>programmes</w:t>
            </w:r>
            <w:proofErr w:type="spellEnd"/>
            <w:r>
              <w:rPr>
                <w:rFonts w:ascii="Calibri" w:hAnsi="Calibri" w:cs="Calibri"/>
              </w:rPr>
              <w:t>, alternative pathways and transition planning</w:t>
            </w:r>
          </w:p>
          <w:p w14:paraId="60010F5F" w14:textId="4E470D9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40C0012A"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 xml:space="preserve">Bespoke or reduced </w:t>
            </w:r>
            <w:proofErr w:type="spellStart"/>
            <w:r>
              <w:rPr>
                <w:rFonts w:ascii="Calibri" w:hAnsi="Calibri" w:cs="Calibri"/>
                <w:color w:val="FF0000"/>
              </w:rPr>
              <w:t>programmes</w:t>
            </w:r>
            <w:proofErr w:type="spellEnd"/>
            <w:r>
              <w:rPr>
                <w:rFonts w:ascii="Calibri" w:hAnsi="Calibri" w:cs="Calibri"/>
                <w:color w:val="FF0000"/>
              </w:rPr>
              <w:t xml:space="preserve"> are recorded, time-limited and reviewed, with clear rationale and safeguarding oversight.</w:t>
            </w:r>
          </w:p>
          <w:p w14:paraId="23B79A83" w14:textId="20F9792F" w:rsidR="00655F18"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Pr>
                <w:rFonts w:ascii="Calibri" w:hAnsi="Calibri" w:cs="Calibri"/>
                <w:color w:val="FF0000"/>
              </w:rPr>
              <w:t>The setting considers how arrangements support progression, independence and access to an appropriate curriculum or training pathway.</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55AF55C0" w14:textId="4B34E528"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Pr>
                <w:rFonts w:ascii="Calibri" w:hAnsi="Calibri" w:cs="Calibri"/>
                <w:color w:val="E36C0A"/>
              </w:rPr>
              <w:t>Alternative pathways, work-related learning, supported internships or bespoke timetables are planned as part of a wider progression plan, with learner voice, carer/SW input, safeguarding information and review dates recorded.</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7AAE108F"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 xml:space="preserve">Integrated </w:t>
            </w:r>
            <w:proofErr w:type="spellStart"/>
            <w:r>
              <w:rPr>
                <w:rFonts w:ascii="Calibri" w:hAnsi="Calibri" w:cs="Calibri"/>
                <w:color w:val="00B050"/>
              </w:rPr>
              <w:t>programmes</w:t>
            </w:r>
            <w:proofErr w:type="spellEnd"/>
            <w:r>
              <w:rPr>
                <w:rFonts w:ascii="Calibri" w:hAnsi="Calibri" w:cs="Calibri"/>
                <w:color w:val="00B050"/>
              </w:rPr>
              <w:t xml:space="preserve"> combine curriculum, pastoral support, careers education, employer engagement and specialist support to secure safe re-engagement and progression.</w:t>
            </w:r>
          </w:p>
          <w:p w14:paraId="42798F80" w14:textId="02BE4799"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Pr>
                <w:rFonts w:ascii="Calibri" w:hAnsi="Calibri" w:cs="Calibri"/>
                <w:color w:val="00B050"/>
              </w:rPr>
              <w:t>Any bespoke pathway maintains clear accountability for learner safety, learning, attendance, achievement and destination outcomes.</w:t>
            </w:r>
          </w:p>
        </w:tc>
      </w:tr>
      <w:tr w:rsidR="00167BFA" w:rsidRPr="0012137E" w14:paraId="7D502CC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888CE0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4162908C" w14:textId="1459D1DB" w:rsidR="00167BFA" w:rsidRPr="0012137E" w:rsidRDefault="00167BFA">
            <w:pPr>
              <w:rPr>
                <w:rFonts w:asciiTheme="majorHAnsi" w:hAnsiTheme="majorHAnsi" w:cstheme="majorHAnsi"/>
                <w:b w:val="0"/>
                <w:bCs w:val="0"/>
              </w:rPr>
            </w:pPr>
          </w:p>
        </w:tc>
      </w:tr>
      <w:tr w:rsidR="00454771" w:rsidRPr="0012137E" w14:paraId="20489E5D"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578F4EAC" w14:textId="77777777" w:rsidR="00576389" w:rsidRPr="0012137E" w:rsidRDefault="007F600D">
            <w:pPr>
              <w:rPr>
                <w:rFonts w:asciiTheme="majorHAnsi" w:hAnsiTheme="majorHAnsi" w:cstheme="majorHAnsi"/>
              </w:rPr>
            </w:pPr>
            <w:r w:rsidRPr="0012137E">
              <w:rPr>
                <w:rFonts w:asciiTheme="majorHAnsi" w:hAnsiTheme="majorHAnsi" w:cstheme="majorHAnsi"/>
              </w:rPr>
              <w:t>3.3</w:t>
            </w:r>
          </w:p>
        </w:tc>
        <w:tc>
          <w:tcPr>
            <w:tcW w:w="2835" w:type="dxa"/>
            <w:tcBorders>
              <w:top w:val="none" w:sz="0" w:space="0" w:color="auto"/>
              <w:bottom w:val="none" w:sz="0" w:space="0" w:color="auto"/>
            </w:tcBorders>
          </w:tcPr>
          <w:p w14:paraId="2FCA0EE7"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Attendance and early help</w:t>
            </w:r>
          </w:p>
        </w:tc>
        <w:tc>
          <w:tcPr>
            <w:tcW w:w="3486" w:type="dxa"/>
            <w:tcBorders>
              <w:top w:val="none" w:sz="0" w:space="0" w:color="auto"/>
              <w:bottom w:val="none" w:sz="0" w:space="0" w:color="auto"/>
            </w:tcBorders>
          </w:tcPr>
          <w:p w14:paraId="32216455"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Attendance is tracked in line with peers and for Virtual School learner groups. Attendance is discussed with attendance leads, reported to governors and acted on early, particularly following low attendance or disruption to education.</w:t>
            </w:r>
          </w:p>
          <w:p w14:paraId="75AA7567" w14:textId="28C1E95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6E476B6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Targeted monitoring and interventions improve attendance for Virtual School learners, including pupils with EHCPs and those returning from AP, suspension, reduced timetable or disrupted placement.</w:t>
            </w:r>
          </w:p>
          <w:p w14:paraId="2766E72E" w14:textId="15B8D17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486" w:type="dxa"/>
            <w:tcBorders>
              <w:top w:val="none" w:sz="0" w:space="0" w:color="auto"/>
              <w:bottom w:val="none" w:sz="0" w:space="0" w:color="auto"/>
              <w:right w:val="none" w:sz="0" w:space="0" w:color="auto"/>
            </w:tcBorders>
          </w:tcPr>
          <w:p w14:paraId="6298415B"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Data-led routines pre-empt absence, identify barriers and support learners to attend, engage and participate positively.</w:t>
            </w:r>
          </w:p>
          <w:p w14:paraId="31BFA5CE" w14:textId="15BC0010"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Multi</w:t>
            </w:r>
            <w:r w:rsidRPr="0012137E">
              <w:rPr>
                <w:rFonts w:ascii="Cambria Math" w:hAnsi="Cambria Math" w:cs="Cambria Math"/>
                <w:color w:val="00B050"/>
              </w:rPr>
              <w:t>‑</w:t>
            </w:r>
            <w:r w:rsidRPr="0012137E">
              <w:rPr>
                <w:rFonts w:asciiTheme="majorHAnsi" w:hAnsiTheme="majorHAnsi" w:cstheme="majorHAnsi"/>
                <w:color w:val="00B050"/>
              </w:rPr>
              <w:t>agency attendance plans deliver sustained improvements</w:t>
            </w:r>
            <w:r w:rsidR="001C7CB7">
              <w:rPr>
                <w:rFonts w:asciiTheme="majorHAnsi" w:hAnsiTheme="majorHAnsi" w:cstheme="majorHAnsi"/>
                <w:color w:val="00B050"/>
              </w:rPr>
              <w:t>.</w:t>
            </w:r>
          </w:p>
        </w:tc>
      </w:tr>
      <w:tr w:rsidR="00167BFA" w:rsidRPr="0012137E" w14:paraId="5339E197"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5CE014E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769DC6C" w14:textId="19145182" w:rsidR="00167BFA" w:rsidRPr="0012137E" w:rsidRDefault="00167BFA">
            <w:pPr>
              <w:rPr>
                <w:rFonts w:asciiTheme="majorHAnsi" w:hAnsiTheme="majorHAnsi" w:cstheme="majorHAnsi"/>
                <w:b w:val="0"/>
                <w:bCs w:val="0"/>
              </w:rPr>
            </w:pPr>
          </w:p>
        </w:tc>
      </w:tr>
    </w:tbl>
    <w:p w14:paraId="1CF0170D" w14:textId="77777777" w:rsidR="00576389" w:rsidRPr="0012137E" w:rsidRDefault="00576389">
      <w:pPr>
        <w:rPr>
          <w:rFonts w:asciiTheme="majorHAnsi" w:hAnsiTheme="majorHAnsi" w:cstheme="majorHAnsi"/>
        </w:rPr>
      </w:pPr>
    </w:p>
    <w:p w14:paraId="0BA18965" w14:textId="77777777" w:rsidR="001D3D42" w:rsidRDefault="001D3D42" w:rsidP="001D3D42">
      <w:pPr>
        <w:pStyle w:val="Heading2"/>
        <w:rPr>
          <w:kern w:val="2"/>
          <w:lang w:val="en-GB" w:eastAsia="en-GB"/>
          <w14:ligatures w14:val="standardContextual"/>
        </w:rPr>
      </w:pPr>
      <w:r>
        <w:rPr>
          <w:color w:val="auto"/>
        </w:rPr>
        <w:t>4. Transitions, Destinations &amp; Progression</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1C40E6C1"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FBB655D"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132C673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9809F4B"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466BD2D1"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31837C3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6069B324" w14:textId="77777777" w:rsidTr="001D3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0E14A5E" w14:textId="77777777" w:rsidR="00576389" w:rsidRPr="0012137E" w:rsidRDefault="007F600D">
            <w:pPr>
              <w:rPr>
                <w:rFonts w:asciiTheme="majorHAnsi" w:hAnsiTheme="majorHAnsi" w:cstheme="majorHAnsi"/>
              </w:rPr>
            </w:pPr>
            <w:r w:rsidRPr="0012137E">
              <w:rPr>
                <w:rFonts w:asciiTheme="majorHAnsi" w:hAnsiTheme="majorHAnsi" w:cstheme="majorHAnsi"/>
              </w:rPr>
              <w:t>4.1</w:t>
            </w:r>
          </w:p>
        </w:tc>
        <w:tc>
          <w:tcPr>
            <w:tcW w:w="2835" w:type="dxa"/>
            <w:tcBorders>
              <w:top w:val="none" w:sz="0" w:space="0" w:color="auto"/>
              <w:bottom w:val="none" w:sz="0" w:space="0" w:color="auto"/>
            </w:tcBorders>
          </w:tcPr>
          <w:p w14:paraId="121F1559"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Transition, induction and warm handovers</w:t>
            </w:r>
          </w:p>
          <w:p w14:paraId="5DEE99DD" w14:textId="71F60C7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539928EA"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 xml:space="preserve">Transition information is requested and shared promptly, including prior attainment, SEND, safeguarding, care status, attendance and support </w:t>
            </w:r>
            <w:r>
              <w:rPr>
                <w:rFonts w:ascii="Calibri" w:hAnsi="Calibri" w:cs="Calibri"/>
                <w:color w:val="FF0000"/>
              </w:rPr>
              <w:lastRenderedPageBreak/>
              <w:t>needs.</w:t>
            </w:r>
          </w:p>
          <w:p w14:paraId="2591A973" w14:textId="35C3771E"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Pr>
                <w:rFonts w:ascii="Calibri" w:hAnsi="Calibri" w:cs="Calibri"/>
                <w:color w:val="FF0000"/>
              </w:rPr>
              <w:t>Induction arrangements help the learner understand expectations, support routes and progression options.</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601E70E0" w14:textId="501D27B2" w:rsidR="00576389" w:rsidRPr="003F348C" w:rsidRDefault="001D3D42" w:rsidP="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lastRenderedPageBreak/>
              <w:t xml:space="preserve">Transition planning includes learner, parent/carer, social worker and Virtual School views, with clear arrangements for support, review, </w:t>
            </w:r>
            <w:r>
              <w:rPr>
                <w:rFonts w:ascii="Calibri" w:hAnsi="Calibri" w:cs="Calibri"/>
                <w:color w:val="E36C0A"/>
              </w:rPr>
              <w:lastRenderedPageBreak/>
              <w:t>careers advice and destination planning.</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0ADD21E3" w14:textId="6DB3C377" w:rsidR="00576389" w:rsidRPr="0012137E" w:rsidRDefault="001D3D42" w:rsidP="001D3D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Pr>
                <w:rFonts w:ascii="Calibri" w:hAnsi="Calibri" w:cs="Calibri"/>
                <w:color w:val="00B050"/>
              </w:rPr>
              <w:lastRenderedPageBreak/>
              <w:t xml:space="preserve">Warm handover protocols are embedded and quality-assured, including multi-agency planning, risk assessment, learner voice, </w:t>
            </w:r>
            <w:r>
              <w:rPr>
                <w:rFonts w:ascii="Calibri" w:hAnsi="Calibri" w:cs="Calibri"/>
                <w:color w:val="00B050"/>
              </w:rPr>
              <w:lastRenderedPageBreak/>
              <w:t>EHCP/PEP information where relevant, independence goals, careers guidance and monitoring of destination outcomes.</w:t>
            </w:r>
          </w:p>
        </w:tc>
      </w:tr>
      <w:tr w:rsidR="00167BFA" w:rsidRPr="0012137E" w14:paraId="28CD045B"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25E22883"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0107F19F" w14:textId="53CBEE11" w:rsidR="00167BFA" w:rsidRPr="0012137E" w:rsidRDefault="00167BFA">
            <w:pPr>
              <w:rPr>
                <w:rFonts w:asciiTheme="majorHAnsi" w:hAnsiTheme="majorHAnsi" w:cstheme="majorHAnsi"/>
                <w:b w:val="0"/>
                <w:bCs w:val="0"/>
              </w:rPr>
            </w:pPr>
          </w:p>
        </w:tc>
      </w:tr>
    </w:tbl>
    <w:p w14:paraId="4E57B728" w14:textId="77777777" w:rsidR="00655F18" w:rsidRPr="0012137E" w:rsidRDefault="00655F18">
      <w:pPr>
        <w:rPr>
          <w:rFonts w:asciiTheme="majorHAnsi" w:hAnsiTheme="majorHAnsi" w:cstheme="majorHAnsi"/>
        </w:rPr>
      </w:pPr>
    </w:p>
    <w:p w14:paraId="6883EBE1" w14:textId="77777777" w:rsidR="001D3D42" w:rsidRDefault="001D3D42" w:rsidP="001D3D42">
      <w:pPr>
        <w:pStyle w:val="Heading2"/>
        <w:rPr>
          <w:kern w:val="2"/>
          <w:lang w:val="en-GB" w:eastAsia="en-GB"/>
          <w14:ligatures w14:val="standardContextual"/>
        </w:rPr>
      </w:pPr>
      <w:r>
        <w:rPr>
          <w:color w:val="auto"/>
        </w:rPr>
        <w:t>5. PEPs and Learner Support Planning</w:t>
      </w:r>
    </w:p>
    <w:tbl>
      <w:tblPr>
        <w:tblStyle w:val="LightList-Accent1"/>
        <w:tblW w:w="0" w:type="auto"/>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51"/>
        <w:gridCol w:w="2835"/>
        <w:gridCol w:w="3486"/>
        <w:gridCol w:w="3486"/>
        <w:gridCol w:w="3518"/>
      </w:tblGrid>
      <w:tr w:rsidR="00454771" w:rsidRPr="0012137E" w14:paraId="032F6923"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BEA8AC2" w14:textId="77777777" w:rsidR="00655F18" w:rsidRPr="0012137E" w:rsidRDefault="00655F18" w:rsidP="007F600D">
            <w:pPr>
              <w:rPr>
                <w:rFonts w:asciiTheme="majorHAnsi" w:hAnsiTheme="majorHAnsi" w:cstheme="majorHAnsi"/>
              </w:rPr>
            </w:pPr>
            <w:r w:rsidRPr="0012137E">
              <w:rPr>
                <w:rFonts w:asciiTheme="majorHAnsi" w:hAnsiTheme="majorHAnsi" w:cstheme="majorHAnsi"/>
              </w:rPr>
              <w:t>Ref</w:t>
            </w:r>
          </w:p>
        </w:tc>
        <w:tc>
          <w:tcPr>
            <w:tcW w:w="2835" w:type="dxa"/>
          </w:tcPr>
          <w:p w14:paraId="1FDA22D9"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0E77A7BE"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1F6ACD63"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518" w:type="dxa"/>
          </w:tcPr>
          <w:p w14:paraId="5F560CA1"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0726B11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12D9388" w14:textId="6BDEE88E" w:rsidR="00655F18" w:rsidRPr="0012137E" w:rsidRDefault="00655F18" w:rsidP="007F600D">
            <w:pPr>
              <w:rPr>
                <w:rFonts w:asciiTheme="majorHAnsi" w:hAnsiTheme="majorHAnsi" w:cstheme="majorHAnsi"/>
              </w:rPr>
            </w:pPr>
            <w:r w:rsidRPr="0012137E">
              <w:rPr>
                <w:rFonts w:asciiTheme="majorHAnsi" w:hAnsiTheme="majorHAnsi" w:cstheme="majorHAnsi"/>
              </w:rPr>
              <w:t>5.2</w:t>
            </w:r>
          </w:p>
        </w:tc>
        <w:tc>
          <w:tcPr>
            <w:tcW w:w="2835" w:type="dxa"/>
          </w:tcPr>
          <w:p w14:paraId="5C81B1E7"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PEP quality and timeliness</w:t>
            </w:r>
          </w:p>
        </w:tc>
        <w:tc>
          <w:tcPr>
            <w:tcW w:w="3486" w:type="dxa"/>
          </w:tcPr>
          <w:p w14:paraId="2CC677D4" w14:textId="6C18822F"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All young people have an up-to-date PEP.</w:t>
            </w:r>
          </w:p>
          <w:p w14:paraId="49786EAC" w14:textId="7BBA150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PEPs include appropriate targets and review of previous term.  </w:t>
            </w:r>
          </w:p>
          <w:p w14:paraId="51C8EC83"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PEP deadlines are met</w:t>
            </w:r>
          </w:p>
          <w:p w14:paraId="24D38A36"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No red PEPs in last 12 months.</w:t>
            </w:r>
          </w:p>
          <w:p w14:paraId="7692E187" w14:textId="5FB9C6A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Pupil voice evident.</w:t>
            </w:r>
          </w:p>
        </w:tc>
        <w:tc>
          <w:tcPr>
            <w:tcW w:w="3486" w:type="dxa"/>
          </w:tcPr>
          <w:p w14:paraId="23186478"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All targets are SMART.</w:t>
            </w:r>
          </w:p>
          <w:p w14:paraId="0AE08B0C" w14:textId="6ED0AC2F"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SMART targets routinely evaluated for previous terms.</w:t>
            </w:r>
          </w:p>
          <w:p w14:paraId="4B65138C" w14:textId="3FD24358"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Strategies and interventions are clear.</w:t>
            </w:r>
          </w:p>
          <w:p w14:paraId="68E496AF"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p w14:paraId="7BE2E67C" w14:textId="16413C7A"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518" w:type="dxa"/>
          </w:tcPr>
          <w:p w14:paraId="37CF6E3F" w14:textId="0A65147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 xml:space="preserve">All PEPs </w:t>
            </w:r>
            <w:proofErr w:type="gramStart"/>
            <w:r w:rsidRPr="0012137E">
              <w:rPr>
                <w:rFonts w:asciiTheme="majorHAnsi" w:hAnsiTheme="majorHAnsi" w:cstheme="majorHAnsi"/>
                <w:color w:val="00B050"/>
              </w:rPr>
              <w:t>up</w:t>
            </w:r>
            <w:proofErr w:type="gramEnd"/>
            <w:r w:rsidR="007F600D" w:rsidRPr="0012137E">
              <w:rPr>
                <w:rFonts w:asciiTheme="majorHAnsi" w:hAnsiTheme="majorHAnsi" w:cstheme="majorHAnsi"/>
                <w:color w:val="00B050"/>
              </w:rPr>
              <w:t>-</w:t>
            </w:r>
            <w:r w:rsidRPr="0012137E">
              <w:rPr>
                <w:rFonts w:asciiTheme="majorHAnsi" w:hAnsiTheme="majorHAnsi" w:cstheme="majorHAnsi"/>
                <w:color w:val="00B050"/>
              </w:rPr>
              <w:t>to</w:t>
            </w:r>
            <w:r w:rsidR="007F600D" w:rsidRPr="0012137E">
              <w:rPr>
                <w:rFonts w:asciiTheme="majorHAnsi" w:hAnsiTheme="majorHAnsi" w:cstheme="majorHAnsi"/>
                <w:color w:val="00B050"/>
              </w:rPr>
              <w:t>-</w:t>
            </w:r>
            <w:r w:rsidRPr="0012137E">
              <w:rPr>
                <w:rFonts w:asciiTheme="majorHAnsi" w:hAnsiTheme="majorHAnsi" w:cstheme="majorHAnsi"/>
                <w:color w:val="00B050"/>
              </w:rPr>
              <w:t>date and graded green.</w:t>
            </w:r>
          </w:p>
          <w:p w14:paraId="0368AF05" w14:textId="62CF9271"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Precise evaluation of previous targets.</w:t>
            </w:r>
          </w:p>
          <w:p w14:paraId="4AB1195C" w14:textId="620F0012"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Participation in multi</w:t>
            </w:r>
            <w:r w:rsidRPr="0012137E">
              <w:rPr>
                <w:rFonts w:ascii="Cambria Math" w:hAnsi="Cambria Math" w:cs="Cambria Math"/>
                <w:color w:val="00B050"/>
              </w:rPr>
              <w:t>‑</w:t>
            </w:r>
            <w:r w:rsidRPr="0012137E">
              <w:rPr>
                <w:rFonts w:asciiTheme="majorHAnsi" w:hAnsiTheme="majorHAnsi" w:cstheme="majorHAnsi"/>
                <w:color w:val="00B050"/>
              </w:rPr>
              <w:t>agency PEP QA as appropriate.</w:t>
            </w:r>
          </w:p>
        </w:tc>
      </w:tr>
      <w:tr w:rsidR="00655F18" w:rsidRPr="0012137E" w14:paraId="007E1986" w14:textId="77777777" w:rsidTr="007F600D">
        <w:tc>
          <w:tcPr>
            <w:cnfStyle w:val="001000000000" w:firstRow="0" w:lastRow="0" w:firstColumn="1" w:lastColumn="0" w:oddVBand="0" w:evenVBand="0" w:oddHBand="0" w:evenHBand="0" w:firstRowFirstColumn="0" w:firstRowLastColumn="0" w:lastRowFirstColumn="0" w:lastRowLastColumn="0"/>
            <w:tcW w:w="14176" w:type="dxa"/>
            <w:gridSpan w:val="5"/>
          </w:tcPr>
          <w:p w14:paraId="7263C06D" w14:textId="77777777" w:rsidR="00655F18" w:rsidRPr="0012137E" w:rsidRDefault="00655F18" w:rsidP="007F600D">
            <w:pPr>
              <w:rPr>
                <w:rFonts w:asciiTheme="majorHAnsi" w:hAnsiTheme="majorHAnsi" w:cstheme="majorHAnsi"/>
              </w:rPr>
            </w:pPr>
            <w:r w:rsidRPr="0012137E">
              <w:rPr>
                <w:rFonts w:asciiTheme="majorHAnsi" w:hAnsiTheme="majorHAnsi" w:cstheme="majorHAnsi"/>
              </w:rPr>
              <w:t>Comments</w:t>
            </w:r>
          </w:p>
          <w:p w14:paraId="77D9FAF9" w14:textId="77777777" w:rsidR="00655F18" w:rsidRPr="0012137E" w:rsidRDefault="00655F18" w:rsidP="007F600D">
            <w:pPr>
              <w:rPr>
                <w:rFonts w:asciiTheme="majorHAnsi" w:hAnsiTheme="majorHAnsi" w:cstheme="majorHAnsi"/>
                <w:b w:val="0"/>
                <w:bCs w:val="0"/>
              </w:rPr>
            </w:pPr>
          </w:p>
        </w:tc>
      </w:tr>
    </w:tbl>
    <w:p w14:paraId="0C3966F6" w14:textId="77777777" w:rsidR="00655F18" w:rsidRPr="0012137E" w:rsidRDefault="00655F18">
      <w:pPr>
        <w:rPr>
          <w:rFonts w:asciiTheme="majorHAnsi" w:hAnsiTheme="majorHAnsi" w:cstheme="majorHAnsi"/>
        </w:rPr>
      </w:pPr>
    </w:p>
    <w:p w14:paraId="00D71717" w14:textId="0538686C" w:rsidR="00576389" w:rsidRPr="0012137E" w:rsidRDefault="00C40389">
      <w:pPr>
        <w:pStyle w:val="Heading2"/>
        <w:rPr>
          <w:rFonts w:cstheme="majorHAnsi"/>
          <w:color w:val="auto"/>
        </w:rPr>
      </w:pPr>
      <w:r w:rsidRPr="0012137E">
        <w:rPr>
          <w:rFonts w:cstheme="majorHAnsi"/>
          <w:color w:val="auto"/>
        </w:rPr>
        <w:t>6</w:t>
      </w:r>
      <w:r w:rsidR="007F600D" w:rsidRPr="0012137E">
        <w:rPr>
          <w:rFonts w:cstheme="majorHAnsi"/>
          <w:color w:val="auto"/>
        </w:rPr>
        <w:t>. Achievement, Progress &amp; Enrichment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2407F656"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69D8241"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739ADA9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16C0DC8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7FD7E7E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18E854C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3A06D4B3"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081F7A3" w14:textId="142FBAB3"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.1</w:t>
            </w:r>
          </w:p>
        </w:tc>
        <w:tc>
          <w:tcPr>
            <w:tcW w:w="2835" w:type="dxa"/>
            <w:tcBorders>
              <w:top w:val="none" w:sz="0" w:space="0" w:color="auto"/>
              <w:bottom w:val="none" w:sz="0" w:space="0" w:color="auto"/>
            </w:tcBorders>
          </w:tcPr>
          <w:p w14:paraId="75062378"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Tracking, analysis and reporting</w:t>
            </w:r>
          </w:p>
        </w:tc>
        <w:tc>
          <w:tcPr>
            <w:tcW w:w="3486" w:type="dxa"/>
            <w:tcBorders>
              <w:top w:val="none" w:sz="0" w:space="0" w:color="auto"/>
              <w:bottom w:val="none" w:sz="0" w:space="0" w:color="auto"/>
            </w:tcBorders>
          </w:tcPr>
          <w:p w14:paraId="078BAB15"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tracked alongside peers for attainment and progress.</w:t>
            </w:r>
          </w:p>
        </w:tc>
        <w:tc>
          <w:tcPr>
            <w:tcW w:w="3486" w:type="dxa"/>
            <w:tcBorders>
              <w:top w:val="none" w:sz="0" w:space="0" w:color="auto"/>
              <w:bottom w:val="none" w:sz="0" w:space="0" w:color="auto"/>
            </w:tcBorders>
          </w:tcPr>
          <w:p w14:paraId="1C2D6B6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 xml:space="preserve">Individuals and cohorts </w:t>
            </w:r>
            <w:proofErr w:type="spellStart"/>
            <w:r w:rsidRPr="0012137E">
              <w:rPr>
                <w:rFonts w:asciiTheme="majorHAnsi" w:hAnsiTheme="majorHAnsi" w:cstheme="majorHAnsi"/>
                <w:color w:val="E36C0A" w:themeColor="accent6" w:themeShade="BF"/>
              </w:rPr>
              <w:t>analysed</w:t>
            </w:r>
            <w:proofErr w:type="spellEnd"/>
            <w:r w:rsidRPr="0012137E">
              <w:rPr>
                <w:rFonts w:asciiTheme="majorHAnsi" w:hAnsiTheme="majorHAnsi" w:cstheme="majorHAnsi"/>
                <w:color w:val="E36C0A" w:themeColor="accent6" w:themeShade="BF"/>
              </w:rPr>
              <w:t>. Reports to governors are regular and routine.</w:t>
            </w:r>
          </w:p>
          <w:p w14:paraId="142EFB1B" w14:textId="3597668F"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Strategies to narrow gaps shared with VS termly.</w:t>
            </w:r>
          </w:p>
        </w:tc>
        <w:tc>
          <w:tcPr>
            <w:tcW w:w="3486" w:type="dxa"/>
            <w:tcBorders>
              <w:top w:val="none" w:sz="0" w:space="0" w:color="auto"/>
              <w:bottom w:val="none" w:sz="0" w:space="0" w:color="auto"/>
              <w:right w:val="none" w:sz="0" w:space="0" w:color="auto"/>
            </w:tcBorders>
          </w:tcPr>
          <w:p w14:paraId="2089E51B"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Analysis of Virtual School learners' needs informs setting priorities, using appropriate contextual and similar-provider comparisons where available.</w:t>
            </w:r>
          </w:p>
          <w:p w14:paraId="02E3DCD5"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Impact is visible in improved achievement, engagement, retention, progression, belonging and personal development.</w:t>
            </w:r>
          </w:p>
          <w:p w14:paraId="6963F04E" w14:textId="6032397B" w:rsidR="00D8088A" w:rsidRPr="0012137E" w:rsidRDefault="00D8088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Case studies produced.</w:t>
            </w:r>
          </w:p>
        </w:tc>
      </w:tr>
      <w:tr w:rsidR="00167BFA" w:rsidRPr="0012137E" w14:paraId="52994F28"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392F5BF1"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2EE149C" w14:textId="2E2626A2" w:rsidR="00167BFA" w:rsidRPr="0012137E" w:rsidRDefault="00167BFA">
            <w:pPr>
              <w:rPr>
                <w:rFonts w:asciiTheme="majorHAnsi" w:hAnsiTheme="majorHAnsi" w:cstheme="majorHAnsi"/>
                <w:b w:val="0"/>
                <w:bCs w:val="0"/>
              </w:rPr>
            </w:pPr>
          </w:p>
        </w:tc>
      </w:tr>
      <w:tr w:rsidR="003A0003" w:rsidRPr="0012137E" w14:paraId="15D27D5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331AB43D" w14:textId="30AC8FBD"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.2</w:t>
            </w:r>
          </w:p>
        </w:tc>
        <w:tc>
          <w:tcPr>
            <w:tcW w:w="2835" w:type="dxa"/>
            <w:tcBorders>
              <w:top w:val="none" w:sz="0" w:space="0" w:color="auto"/>
              <w:bottom w:val="none" w:sz="0" w:space="0" w:color="auto"/>
            </w:tcBorders>
          </w:tcPr>
          <w:p w14:paraId="22816081"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Recognition and culture of high expectations</w:t>
            </w:r>
          </w:p>
        </w:tc>
        <w:tc>
          <w:tcPr>
            <w:tcW w:w="3486" w:type="dxa"/>
            <w:tcBorders>
              <w:top w:val="none" w:sz="0" w:space="0" w:color="auto"/>
              <w:bottom w:val="none" w:sz="0" w:space="0" w:color="auto"/>
            </w:tcBorders>
          </w:tcPr>
          <w:p w14:paraId="585FEE42"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included in reward systems.</w:t>
            </w:r>
          </w:p>
        </w:tc>
        <w:tc>
          <w:tcPr>
            <w:tcW w:w="3486" w:type="dxa"/>
            <w:tcBorders>
              <w:top w:val="none" w:sz="0" w:space="0" w:color="auto"/>
              <w:bottom w:val="none" w:sz="0" w:space="0" w:color="auto"/>
            </w:tcBorders>
          </w:tcPr>
          <w:p w14:paraId="0ADCB7AB" w14:textId="0E42743E"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The setting engages with LA initiatives such as PROUD awards</w:t>
            </w:r>
            <w:r w:rsidR="001C7CB7">
              <w:rPr>
                <w:rFonts w:ascii="Calibri" w:hAnsi="Calibri" w:cs="Calibri"/>
                <w:color w:val="E36C0A"/>
              </w:rPr>
              <w:t xml:space="preserve">. </w:t>
            </w:r>
          </w:p>
          <w:p w14:paraId="7344390F" w14:textId="5168B1BF" w:rsidR="00D8088A" w:rsidRPr="0012137E" w:rsidRDefault="00D8088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86" w:type="dxa"/>
            <w:tcBorders>
              <w:top w:val="none" w:sz="0" w:space="0" w:color="auto"/>
              <w:bottom w:val="none" w:sz="0" w:space="0" w:color="auto"/>
              <w:right w:val="none" w:sz="0" w:space="0" w:color="auto"/>
            </w:tcBorders>
          </w:tcPr>
          <w:p w14:paraId="6A793518"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Multiple strategies celebrate success.</w:t>
            </w:r>
          </w:p>
          <w:p w14:paraId="319C0E7A" w14:textId="77777777" w:rsidR="001D3D42" w:rsidRDefault="001D3D42">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lastRenderedPageBreak/>
              <w:t>Enrichment, learner leadership, careers education, employer engagement and destination planning raise aspirations and support learners to belong and thrive.</w:t>
            </w:r>
          </w:p>
          <w:p w14:paraId="1B4DE18C" w14:textId="6F3CCAF8"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10834EA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0160F21"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6CB5AB8E" w14:textId="2B865B0F" w:rsidR="00167BFA" w:rsidRPr="0012137E" w:rsidRDefault="00167BFA">
            <w:pPr>
              <w:rPr>
                <w:rFonts w:asciiTheme="majorHAnsi" w:hAnsiTheme="majorHAnsi" w:cstheme="majorHAnsi"/>
                <w:b w:val="0"/>
                <w:bCs w:val="0"/>
              </w:rPr>
            </w:pPr>
          </w:p>
        </w:tc>
      </w:tr>
      <w:tr w:rsidR="00454771" w:rsidRPr="0012137E" w14:paraId="73B788D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471E74E0" w14:textId="5F81D326"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.3</w:t>
            </w:r>
          </w:p>
        </w:tc>
        <w:tc>
          <w:tcPr>
            <w:tcW w:w="2835" w:type="dxa"/>
            <w:tcBorders>
              <w:top w:val="none" w:sz="0" w:space="0" w:color="auto"/>
              <w:bottom w:val="none" w:sz="0" w:space="0" w:color="auto"/>
            </w:tcBorders>
          </w:tcPr>
          <w:p w14:paraId="76769727"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Staff expertise on attachment, trauma and SEN</w:t>
            </w:r>
          </w:p>
        </w:tc>
        <w:tc>
          <w:tcPr>
            <w:tcW w:w="3486" w:type="dxa"/>
            <w:tcBorders>
              <w:top w:val="none" w:sz="0" w:space="0" w:color="auto"/>
              <w:bottom w:val="none" w:sz="0" w:space="0" w:color="auto"/>
            </w:tcBorders>
          </w:tcPr>
          <w:p w14:paraId="3E91B4F2"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Some staff training </w:t>
            </w:r>
            <w:proofErr w:type="gramStart"/>
            <w:r w:rsidRPr="0012137E">
              <w:rPr>
                <w:rFonts w:asciiTheme="majorHAnsi" w:hAnsiTheme="majorHAnsi" w:cstheme="majorHAnsi"/>
                <w:color w:val="FF0000"/>
              </w:rPr>
              <w:t>completed</w:t>
            </w:r>
            <w:proofErr w:type="gramEnd"/>
            <w:r w:rsidRPr="0012137E">
              <w:rPr>
                <w:rFonts w:asciiTheme="majorHAnsi" w:hAnsiTheme="majorHAnsi" w:cstheme="majorHAnsi"/>
                <w:color w:val="FF0000"/>
              </w:rPr>
              <w:t xml:space="preserve"> on attachment/trauma.</w:t>
            </w:r>
          </w:p>
        </w:tc>
        <w:tc>
          <w:tcPr>
            <w:tcW w:w="3486" w:type="dxa"/>
            <w:tcBorders>
              <w:top w:val="none" w:sz="0" w:space="0" w:color="auto"/>
              <w:bottom w:val="none" w:sz="0" w:space="0" w:color="auto"/>
            </w:tcBorders>
          </w:tcPr>
          <w:p w14:paraId="76D77277" w14:textId="7B01D2C8"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All relevant staff trained. Adjustments are common practice and recorded in PEPs/IEPs.</w:t>
            </w:r>
          </w:p>
        </w:tc>
        <w:tc>
          <w:tcPr>
            <w:tcW w:w="3486" w:type="dxa"/>
            <w:tcBorders>
              <w:top w:val="none" w:sz="0" w:space="0" w:color="auto"/>
              <w:bottom w:val="none" w:sz="0" w:space="0" w:color="auto"/>
              <w:right w:val="none" w:sz="0" w:space="0" w:color="auto"/>
            </w:tcBorders>
          </w:tcPr>
          <w:p w14:paraId="4BC3120F"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 xml:space="preserve">Ongoing </w:t>
            </w:r>
            <w:proofErr w:type="spellStart"/>
            <w:r w:rsidRPr="0012137E">
              <w:rPr>
                <w:rFonts w:asciiTheme="majorHAnsi" w:hAnsiTheme="majorHAnsi" w:cstheme="majorHAnsi"/>
                <w:color w:val="00B050"/>
              </w:rPr>
              <w:t>programme</w:t>
            </w:r>
            <w:proofErr w:type="spellEnd"/>
            <w:r w:rsidRPr="0012137E">
              <w:rPr>
                <w:rFonts w:asciiTheme="majorHAnsi" w:hAnsiTheme="majorHAnsi" w:cstheme="majorHAnsi"/>
                <w:color w:val="00B050"/>
              </w:rPr>
              <w:t xml:space="preserve"> with practice coaching.</w:t>
            </w:r>
          </w:p>
          <w:p w14:paraId="424F352B" w14:textId="1D2A2F22"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 xml:space="preserve">Effects evidenced in </w:t>
            </w:r>
            <w:proofErr w:type="spellStart"/>
            <w:r w:rsidRPr="0012137E">
              <w:rPr>
                <w:rFonts w:asciiTheme="majorHAnsi" w:hAnsiTheme="majorHAnsi" w:cstheme="majorHAnsi"/>
                <w:color w:val="00B050"/>
              </w:rPr>
              <w:t>behaviour</w:t>
            </w:r>
            <w:proofErr w:type="spellEnd"/>
            <w:r w:rsidRPr="0012137E">
              <w:rPr>
                <w:rFonts w:asciiTheme="majorHAnsi" w:hAnsiTheme="majorHAnsi" w:cstheme="majorHAnsi"/>
                <w:color w:val="00B050"/>
              </w:rPr>
              <w:t>, engagement and progress.</w:t>
            </w:r>
          </w:p>
        </w:tc>
      </w:tr>
      <w:tr w:rsidR="00167BFA" w:rsidRPr="0012137E" w14:paraId="39A39D6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2289FED"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20500A30" w14:textId="238F935A" w:rsidR="00167BFA" w:rsidRPr="0012137E" w:rsidRDefault="00167BFA">
            <w:pPr>
              <w:rPr>
                <w:rFonts w:asciiTheme="majorHAnsi" w:hAnsiTheme="majorHAnsi" w:cstheme="majorHAnsi"/>
                <w:b w:val="0"/>
                <w:bCs w:val="0"/>
              </w:rPr>
            </w:pPr>
          </w:p>
        </w:tc>
      </w:tr>
    </w:tbl>
    <w:p w14:paraId="3EDE3D4D" w14:textId="77777777" w:rsidR="00576389" w:rsidRPr="0012137E" w:rsidRDefault="00576389">
      <w:pPr>
        <w:rPr>
          <w:rFonts w:asciiTheme="majorHAnsi" w:hAnsiTheme="majorHAnsi" w:cstheme="majorHAnsi"/>
        </w:rPr>
      </w:pPr>
    </w:p>
    <w:p w14:paraId="6EE27C7A" w14:textId="10575361" w:rsidR="00576389" w:rsidRPr="0012137E" w:rsidRDefault="007F600D">
      <w:pPr>
        <w:pStyle w:val="Heading2"/>
        <w:rPr>
          <w:rFonts w:cstheme="majorHAnsi"/>
        </w:rPr>
      </w:pPr>
      <w:r w:rsidRPr="0012137E">
        <w:rPr>
          <w:rFonts w:cstheme="majorHAnsi"/>
          <w:color w:val="auto"/>
        </w:rPr>
        <w:t>Evidence &amp; Action Planning (</w:t>
      </w:r>
      <w:proofErr w:type="spellStart"/>
      <w:r w:rsidRPr="0012137E">
        <w:rPr>
          <w:rFonts w:cstheme="majorHAnsi"/>
          <w:color w:val="auto"/>
        </w:rPr>
        <w:t>prioritise</w:t>
      </w:r>
      <w:proofErr w:type="spellEnd"/>
      <w:r w:rsidRPr="0012137E">
        <w:rPr>
          <w:rFonts w:cstheme="majorHAnsi"/>
          <w:color w:val="auto"/>
        </w:rPr>
        <w:t xml:space="preserve"> </w:t>
      </w:r>
      <w:r w:rsidR="00DB5790">
        <w:rPr>
          <w:rFonts w:cstheme="majorHAnsi"/>
          <w:color w:val="auto"/>
        </w:rPr>
        <w:t>3-5</w:t>
      </w:r>
      <w:r w:rsidRPr="0012137E">
        <w:rPr>
          <w:rFonts w:cstheme="majorHAnsi"/>
          <w:color w:val="auto"/>
        </w:rPr>
        <w:t xml:space="preserve"> actions)</w:t>
      </w:r>
    </w:p>
    <w:tbl>
      <w:tblPr>
        <w:tblStyle w:val="LightShading-Accent2"/>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40"/>
        <w:gridCol w:w="3326"/>
        <w:gridCol w:w="3326"/>
        <w:gridCol w:w="3326"/>
        <w:gridCol w:w="3326"/>
      </w:tblGrid>
      <w:tr w:rsidR="00655F18" w:rsidRPr="0012137E" w14:paraId="69312351" w14:textId="77777777" w:rsidTr="00351A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one" w:sz="0" w:space="0" w:color="auto"/>
              <w:left w:val="none" w:sz="0" w:space="0" w:color="auto"/>
              <w:bottom w:val="none" w:sz="0" w:space="0" w:color="auto"/>
              <w:right w:val="none" w:sz="0" w:space="0" w:color="auto"/>
            </w:tcBorders>
          </w:tcPr>
          <w:p w14:paraId="01CE356E" w14:textId="77777777" w:rsidR="00576389" w:rsidRPr="0012137E" w:rsidRDefault="007F600D">
            <w:pPr>
              <w:rPr>
                <w:rFonts w:asciiTheme="majorHAnsi" w:hAnsiTheme="majorHAnsi" w:cstheme="majorHAnsi"/>
                <w:color w:val="auto"/>
              </w:rPr>
            </w:pPr>
            <w:r w:rsidRPr="0012137E">
              <w:rPr>
                <w:rFonts w:asciiTheme="majorHAnsi" w:hAnsiTheme="majorHAnsi" w:cstheme="majorHAnsi"/>
                <w:color w:val="auto"/>
                <w:sz w:val="20"/>
                <w:szCs w:val="20"/>
              </w:rPr>
              <w:t>Domain / Ref</w:t>
            </w:r>
          </w:p>
        </w:tc>
        <w:tc>
          <w:tcPr>
            <w:tcW w:w="3326" w:type="dxa"/>
            <w:tcBorders>
              <w:top w:val="none" w:sz="0" w:space="0" w:color="auto"/>
              <w:left w:val="none" w:sz="0" w:space="0" w:color="auto"/>
              <w:bottom w:val="none" w:sz="0" w:space="0" w:color="auto"/>
              <w:right w:val="none" w:sz="0" w:space="0" w:color="auto"/>
            </w:tcBorders>
          </w:tcPr>
          <w:p w14:paraId="5EE48005"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Current Evidence</w:t>
            </w:r>
          </w:p>
        </w:tc>
        <w:tc>
          <w:tcPr>
            <w:tcW w:w="3326" w:type="dxa"/>
            <w:tcBorders>
              <w:top w:val="none" w:sz="0" w:space="0" w:color="auto"/>
              <w:left w:val="none" w:sz="0" w:space="0" w:color="auto"/>
              <w:bottom w:val="none" w:sz="0" w:space="0" w:color="auto"/>
              <w:right w:val="none" w:sz="0" w:space="0" w:color="auto"/>
            </w:tcBorders>
          </w:tcPr>
          <w:p w14:paraId="7F102F75"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Impact (so what?)</w:t>
            </w:r>
          </w:p>
        </w:tc>
        <w:tc>
          <w:tcPr>
            <w:tcW w:w="3326" w:type="dxa"/>
            <w:tcBorders>
              <w:top w:val="none" w:sz="0" w:space="0" w:color="auto"/>
              <w:left w:val="none" w:sz="0" w:space="0" w:color="auto"/>
              <w:bottom w:val="none" w:sz="0" w:space="0" w:color="auto"/>
              <w:right w:val="none" w:sz="0" w:space="0" w:color="auto"/>
            </w:tcBorders>
          </w:tcPr>
          <w:p w14:paraId="2AF9A51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Next Steps / Owner / By when</w:t>
            </w:r>
          </w:p>
        </w:tc>
        <w:tc>
          <w:tcPr>
            <w:tcW w:w="3326" w:type="dxa"/>
            <w:tcBorders>
              <w:top w:val="none" w:sz="0" w:space="0" w:color="auto"/>
              <w:left w:val="none" w:sz="0" w:space="0" w:color="auto"/>
              <w:bottom w:val="none" w:sz="0" w:space="0" w:color="auto"/>
              <w:right w:val="none" w:sz="0" w:space="0" w:color="auto"/>
            </w:tcBorders>
          </w:tcPr>
          <w:p w14:paraId="463E904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Success Measures</w:t>
            </w:r>
          </w:p>
        </w:tc>
      </w:tr>
      <w:tr w:rsidR="00797CC0" w:rsidRPr="0012137E" w14:paraId="02AF9DFD"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1D24D77C"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296B699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8BEB2E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66E1203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659E3DA4"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r w:rsidR="00C40389" w:rsidRPr="0012137E" w14:paraId="067AA68C" w14:textId="77777777" w:rsidTr="00351AC8">
        <w:tc>
          <w:tcPr>
            <w:cnfStyle w:val="001000000000" w:firstRow="0" w:lastRow="0" w:firstColumn="1" w:lastColumn="0" w:oddVBand="0" w:evenVBand="0" w:oddHBand="0" w:evenHBand="0" w:firstRowFirstColumn="0" w:firstRowLastColumn="0" w:lastRowFirstColumn="0" w:lastRowLastColumn="0"/>
            <w:tcW w:w="940" w:type="dxa"/>
          </w:tcPr>
          <w:p w14:paraId="264CAB7C" w14:textId="77777777" w:rsidR="00576389" w:rsidRPr="0012137E" w:rsidRDefault="00576389">
            <w:pPr>
              <w:rPr>
                <w:rFonts w:asciiTheme="majorHAnsi" w:hAnsiTheme="majorHAnsi" w:cstheme="majorHAnsi"/>
                <w:color w:val="auto"/>
              </w:rPr>
            </w:pPr>
          </w:p>
        </w:tc>
        <w:tc>
          <w:tcPr>
            <w:tcW w:w="3326" w:type="dxa"/>
          </w:tcPr>
          <w:p w14:paraId="665B6CD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5C6B7F2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22FA999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02E42C0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r>
      <w:tr w:rsidR="00797CC0" w:rsidRPr="0012137E" w14:paraId="5663C284"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2A5408B4"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74DEA29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C0F86A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AAE95F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36BB9C3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r w:rsidR="00C40389" w:rsidRPr="0012137E" w14:paraId="0A85355A" w14:textId="77777777" w:rsidTr="00351AC8">
        <w:tc>
          <w:tcPr>
            <w:cnfStyle w:val="001000000000" w:firstRow="0" w:lastRow="0" w:firstColumn="1" w:lastColumn="0" w:oddVBand="0" w:evenVBand="0" w:oddHBand="0" w:evenHBand="0" w:firstRowFirstColumn="0" w:firstRowLastColumn="0" w:lastRowFirstColumn="0" w:lastRowLastColumn="0"/>
            <w:tcW w:w="940" w:type="dxa"/>
          </w:tcPr>
          <w:p w14:paraId="4C2A1D11" w14:textId="77777777" w:rsidR="00576389" w:rsidRPr="0012137E" w:rsidRDefault="00576389">
            <w:pPr>
              <w:rPr>
                <w:rFonts w:asciiTheme="majorHAnsi" w:hAnsiTheme="majorHAnsi" w:cstheme="majorHAnsi"/>
                <w:color w:val="auto"/>
              </w:rPr>
            </w:pPr>
          </w:p>
        </w:tc>
        <w:tc>
          <w:tcPr>
            <w:tcW w:w="3326" w:type="dxa"/>
          </w:tcPr>
          <w:p w14:paraId="06A9EA3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3F8B466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5D18B20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1771F9B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r>
      <w:tr w:rsidR="00797CC0" w:rsidRPr="0012137E" w14:paraId="5FC0DF3B"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335C71B2"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7C8295B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38B7C9A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7DC002E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4A3B4B34"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bl>
    <w:p w14:paraId="29955DF1" w14:textId="77777777" w:rsidR="00A05A0E" w:rsidRPr="0012137E" w:rsidRDefault="00A05A0E">
      <w:pPr>
        <w:rPr>
          <w:rFonts w:asciiTheme="majorHAnsi" w:hAnsiTheme="majorHAnsi" w:cstheme="majorHAnsi"/>
        </w:rPr>
      </w:pPr>
    </w:p>
    <w:p w14:paraId="771335C8" w14:textId="77777777" w:rsidR="001D3D42" w:rsidRDefault="001D3D42" w:rsidP="001D3D42">
      <w:pPr>
        <w:pStyle w:val="Heading2"/>
        <w:rPr>
          <w:kern w:val="2"/>
          <w:lang w:val="en-GB" w:eastAsia="en-GB"/>
          <w14:ligatures w14:val="standardContextual"/>
        </w:rPr>
      </w:pPr>
      <w:r>
        <w:rPr>
          <w:color w:val="auto"/>
        </w:rPr>
        <w:t>Inclusion Case Sampling &amp; Learner Lived Experience</w:t>
      </w:r>
    </w:p>
    <w:p w14:paraId="17E87AB8" w14:textId="77777777" w:rsidR="001D3D42" w:rsidRDefault="001D3D42">
      <w:pPr>
        <w:spacing w:after="120"/>
        <w:rPr>
          <w:kern w:val="2"/>
          <w:lang w:val="en-GB" w:eastAsia="en-GB"/>
          <w14:ligatures w14:val="standardContextual"/>
        </w:rPr>
      </w:pPr>
      <w:r>
        <w:rPr>
          <w:rFonts w:ascii="Calibri" w:hAnsi="Calibri" w:cs="Calibri"/>
        </w:rPr>
        <w:t>Use this log to select and track a representative sample across disadvantaged learners, SEND, CLA/PLAC, CWSW, young carers and those facing other barriers. Evidence should triangulate documentation, day-to-day practice, learning evidence, professional conversations and learner, parent/carer and social worker voice to understand whether learners achieve, belong and progress.</w:t>
      </w:r>
    </w:p>
    <w:tbl>
      <w:tblPr>
        <w:tblStyle w:val="LightList-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764"/>
        <w:gridCol w:w="1764"/>
        <w:gridCol w:w="1764"/>
        <w:gridCol w:w="1764"/>
        <w:gridCol w:w="1764"/>
        <w:gridCol w:w="1922"/>
        <w:gridCol w:w="1764"/>
      </w:tblGrid>
      <w:tr w:rsidR="007F600D" w:rsidRPr="0012137E" w14:paraId="35F4106B" w14:textId="77777777" w:rsidTr="001D3D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5061480F" w14:textId="77777777" w:rsidR="001D3D42" w:rsidRDefault="001D3D42">
            <w:pPr>
              <w:rPr>
                <w:kern w:val="2"/>
                <w:lang w:val="en-GB" w:eastAsia="en-GB"/>
                <w14:ligatures w14:val="standardContextual"/>
              </w:rPr>
            </w:pPr>
            <w:r>
              <w:rPr>
                <w:rFonts w:ascii="Calibri" w:hAnsi="Calibri" w:cs="Calibri"/>
                <w:b w:val="0"/>
                <w:bCs w:val="0"/>
                <w:color w:val="FFFFFF"/>
              </w:rPr>
              <w:t>Learner ID</w:t>
            </w:r>
          </w:p>
          <w:p w14:paraId="2AD87CB6" w14:textId="5ED5EFE7" w:rsidR="00576389" w:rsidRPr="0012137E" w:rsidRDefault="00576389">
            <w:pPr>
              <w:rPr>
                <w:rFonts w:asciiTheme="majorHAnsi" w:hAnsiTheme="majorHAnsi" w:cstheme="majorHAnsi"/>
              </w:rPr>
            </w:pPr>
          </w:p>
        </w:tc>
        <w:tc>
          <w:tcPr>
            <w:tcW w:w="1764" w:type="dxa"/>
          </w:tcPr>
          <w:p w14:paraId="4E350CDC"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Cohort(s)</w:t>
            </w:r>
          </w:p>
        </w:tc>
        <w:tc>
          <w:tcPr>
            <w:tcW w:w="1764" w:type="dxa"/>
          </w:tcPr>
          <w:p w14:paraId="643B3D5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Primary Need / Barriers</w:t>
            </w:r>
          </w:p>
        </w:tc>
        <w:tc>
          <w:tcPr>
            <w:tcW w:w="1764" w:type="dxa"/>
          </w:tcPr>
          <w:p w14:paraId="4FAD489C"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APDR Stage &amp; Key Plan(s)</w:t>
            </w:r>
          </w:p>
        </w:tc>
        <w:tc>
          <w:tcPr>
            <w:tcW w:w="1764" w:type="dxa"/>
          </w:tcPr>
          <w:p w14:paraId="45C77B3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Curriculum Access / Adaptations</w:t>
            </w:r>
          </w:p>
        </w:tc>
        <w:tc>
          <w:tcPr>
            <w:tcW w:w="1764" w:type="dxa"/>
          </w:tcPr>
          <w:p w14:paraId="10CFA29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 xml:space="preserve">Attendance / </w:t>
            </w:r>
            <w:proofErr w:type="spellStart"/>
            <w:r w:rsidRPr="0012137E">
              <w:rPr>
                <w:rFonts w:asciiTheme="majorHAnsi" w:hAnsiTheme="majorHAnsi" w:cstheme="majorHAnsi"/>
              </w:rPr>
              <w:t>Behaviour</w:t>
            </w:r>
            <w:proofErr w:type="spellEnd"/>
          </w:p>
        </w:tc>
        <w:tc>
          <w:tcPr>
            <w:tcW w:w="1764" w:type="dxa"/>
            <w:tcBorders>
              <w:top w:val="single" w:sz="8" w:space="0" w:color="auto"/>
              <w:left w:val="nil"/>
              <w:bottom w:val="single" w:sz="8" w:space="0" w:color="auto"/>
              <w:right w:val="single" w:sz="8" w:space="0" w:color="auto"/>
            </w:tcBorders>
            <w:shd w:val="clear" w:color="auto" w:fill="C0504D"/>
            <w:tcMar>
              <w:top w:w="0" w:type="dxa"/>
              <w:left w:w="108" w:type="dxa"/>
              <w:bottom w:w="0" w:type="dxa"/>
              <w:right w:w="108" w:type="dxa"/>
            </w:tcMar>
            <w:hideMark/>
          </w:tcPr>
          <w:p w14:paraId="089D1CA7" w14:textId="06B6575F" w:rsidR="00576389" w:rsidRPr="0012137E" w:rsidRDefault="001D3D42" w:rsidP="001D3D42">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Calibri" w:hAnsi="Calibri" w:cs="Calibri"/>
                <w:b w:val="0"/>
                <w:bCs w:val="0"/>
                <w:color w:val="FFFFFF"/>
              </w:rPr>
              <w:t>Voice (learner/carer/SW)</w:t>
            </w:r>
          </w:p>
        </w:tc>
        <w:tc>
          <w:tcPr>
            <w:tcW w:w="1764" w:type="dxa"/>
          </w:tcPr>
          <w:p w14:paraId="0E60E31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Impact &amp; Next Review</w:t>
            </w:r>
          </w:p>
        </w:tc>
      </w:tr>
      <w:tr w:rsidR="00E40FFE" w:rsidRPr="0012137E" w14:paraId="09AD2DCA"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6F269B68" w14:textId="77777777" w:rsidR="00576389" w:rsidRPr="0012137E" w:rsidRDefault="00576389">
            <w:pPr>
              <w:rPr>
                <w:rFonts w:asciiTheme="majorHAnsi" w:hAnsiTheme="majorHAnsi" w:cstheme="majorHAnsi"/>
              </w:rPr>
            </w:pPr>
          </w:p>
        </w:tc>
        <w:tc>
          <w:tcPr>
            <w:tcW w:w="1764" w:type="dxa"/>
          </w:tcPr>
          <w:p w14:paraId="3724CA03"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96697D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0FDC59F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374356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6C3217C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58C7C35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029E303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2C9028F8"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53C25681" w14:textId="77777777" w:rsidR="00576389" w:rsidRPr="0012137E" w:rsidRDefault="00576389">
            <w:pPr>
              <w:rPr>
                <w:rFonts w:asciiTheme="majorHAnsi" w:hAnsiTheme="majorHAnsi" w:cstheme="majorHAnsi"/>
              </w:rPr>
            </w:pPr>
          </w:p>
        </w:tc>
        <w:tc>
          <w:tcPr>
            <w:tcW w:w="1764" w:type="dxa"/>
          </w:tcPr>
          <w:p w14:paraId="617D8591"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277A001E"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E633CB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101D0CB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57D0F2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69BB737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74927FE"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40FFE" w:rsidRPr="0012137E" w14:paraId="4E8785D2"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318088F0" w14:textId="77777777" w:rsidR="00576389" w:rsidRPr="0012137E" w:rsidRDefault="00576389">
            <w:pPr>
              <w:rPr>
                <w:rFonts w:asciiTheme="majorHAnsi" w:hAnsiTheme="majorHAnsi" w:cstheme="majorHAnsi"/>
              </w:rPr>
            </w:pPr>
          </w:p>
        </w:tc>
        <w:tc>
          <w:tcPr>
            <w:tcW w:w="1764" w:type="dxa"/>
          </w:tcPr>
          <w:p w14:paraId="2B1226A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726252E6"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113272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6D20F1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3989103"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5EFFDC6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8B76417"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08192408"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40259D5C" w14:textId="77777777" w:rsidR="00576389" w:rsidRPr="0012137E" w:rsidRDefault="00576389">
            <w:pPr>
              <w:rPr>
                <w:rFonts w:asciiTheme="majorHAnsi" w:hAnsiTheme="majorHAnsi" w:cstheme="majorHAnsi"/>
              </w:rPr>
            </w:pPr>
          </w:p>
        </w:tc>
        <w:tc>
          <w:tcPr>
            <w:tcW w:w="1764" w:type="dxa"/>
          </w:tcPr>
          <w:p w14:paraId="7E12A49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2C42253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09A13A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31EFFC3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EAC16C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AF2061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1DFF72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40FFE" w:rsidRPr="0012137E" w14:paraId="4BD66952"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4787F55D" w14:textId="77777777" w:rsidR="00576389" w:rsidRPr="0012137E" w:rsidRDefault="00576389">
            <w:pPr>
              <w:rPr>
                <w:rFonts w:asciiTheme="majorHAnsi" w:hAnsiTheme="majorHAnsi" w:cstheme="majorHAnsi"/>
              </w:rPr>
            </w:pPr>
          </w:p>
        </w:tc>
        <w:tc>
          <w:tcPr>
            <w:tcW w:w="1764" w:type="dxa"/>
          </w:tcPr>
          <w:p w14:paraId="45DCD2E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394E36E"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1E5CD2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27FD058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30C8C44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211EF49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3B9B31E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7C799F8E"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7B935909" w14:textId="77777777" w:rsidR="00576389" w:rsidRPr="0012137E" w:rsidRDefault="00576389">
            <w:pPr>
              <w:rPr>
                <w:rFonts w:asciiTheme="majorHAnsi" w:hAnsiTheme="majorHAnsi" w:cstheme="majorHAnsi"/>
              </w:rPr>
            </w:pPr>
          </w:p>
        </w:tc>
        <w:tc>
          <w:tcPr>
            <w:tcW w:w="1764" w:type="dxa"/>
          </w:tcPr>
          <w:p w14:paraId="5ECB9DD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473066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BC9EB0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C4A08D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1F41FAC5"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13E292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8BE02A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60EAFC53" w14:textId="77777777" w:rsidR="00576389" w:rsidRPr="0012137E" w:rsidRDefault="00576389">
      <w:pPr>
        <w:rPr>
          <w:rFonts w:asciiTheme="majorHAnsi" w:hAnsiTheme="majorHAnsi" w:cstheme="majorHAnsi"/>
        </w:rPr>
      </w:pPr>
    </w:p>
    <w:p w14:paraId="31DEF22A" w14:textId="77777777" w:rsidR="00576389" w:rsidRPr="0012137E" w:rsidRDefault="007F600D">
      <w:pPr>
        <w:pStyle w:val="Heading2"/>
        <w:rPr>
          <w:rFonts w:cstheme="majorHAnsi"/>
          <w:color w:val="auto"/>
        </w:rPr>
      </w:pPr>
      <w:r w:rsidRPr="0012137E">
        <w:rPr>
          <w:rFonts w:cstheme="majorHAnsi"/>
          <w:color w:val="auto"/>
        </w:rPr>
        <w:t>APDR (Assess–Plan–Do–Review) Evidence Grid</w:t>
      </w:r>
    </w:p>
    <w:p w14:paraId="61F1B93C" w14:textId="77777777" w:rsidR="001D3D42" w:rsidRDefault="001D3D42">
      <w:pPr>
        <w:spacing w:after="120"/>
        <w:rPr>
          <w:kern w:val="2"/>
          <w:lang w:val="en-GB" w:eastAsia="en-GB"/>
          <w14:ligatures w14:val="standardContextual"/>
        </w:rPr>
      </w:pPr>
      <w:r>
        <w:rPr>
          <w:rFonts w:ascii="Calibri" w:hAnsi="Calibri" w:cs="Calibri"/>
        </w:rPr>
        <w:t>Record APDR cycles for priority learners, including CLA, PLAC, CWSW, SEND and learners with medical needs. Evidence should show timely identification, quality of plans, learner and family engagement, delivery fidelity, curriculum access, attendance support, progression planning and measured impact over time.</w:t>
      </w:r>
    </w:p>
    <w:tbl>
      <w:tblPr>
        <w:tblStyle w:val="Colorful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352"/>
        <w:gridCol w:w="2352"/>
        <w:gridCol w:w="2352"/>
        <w:gridCol w:w="2352"/>
        <w:gridCol w:w="2352"/>
      </w:tblGrid>
      <w:tr w:rsidR="00576389" w:rsidRPr="0012137E" w14:paraId="3F800D19" w14:textId="77777777" w:rsidTr="001D3D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Borders>
              <w:top w:val="single" w:sz="8" w:space="0" w:color="auto"/>
              <w:left w:val="single" w:sz="8" w:space="0" w:color="auto"/>
              <w:bottom w:val="single" w:sz="8" w:space="0" w:color="auto"/>
              <w:right w:val="single" w:sz="8" w:space="0" w:color="auto"/>
            </w:tcBorders>
            <w:shd w:val="clear" w:color="auto" w:fill="9E3A38"/>
            <w:tcMar>
              <w:top w:w="0" w:type="dxa"/>
              <w:left w:w="108" w:type="dxa"/>
              <w:bottom w:w="0" w:type="dxa"/>
              <w:right w:w="108" w:type="dxa"/>
            </w:tcMar>
            <w:hideMark/>
          </w:tcPr>
          <w:p w14:paraId="17B49E32" w14:textId="796E01EB" w:rsidR="00576389" w:rsidRPr="0012137E" w:rsidRDefault="001D3D42" w:rsidP="001D3D42">
            <w:pPr>
              <w:rPr>
                <w:rFonts w:asciiTheme="majorHAnsi" w:hAnsiTheme="majorHAnsi" w:cstheme="majorHAnsi"/>
              </w:rPr>
            </w:pPr>
            <w:r>
              <w:rPr>
                <w:rFonts w:ascii="Calibri" w:hAnsi="Calibri" w:cs="Calibri"/>
                <w:b w:val="0"/>
                <w:bCs w:val="0"/>
                <w:color w:val="FFFFFF"/>
              </w:rPr>
              <w:t>Learner ID</w:t>
            </w:r>
          </w:p>
        </w:tc>
        <w:tc>
          <w:tcPr>
            <w:tcW w:w="2352" w:type="dxa"/>
            <w:tcBorders>
              <w:bottom w:val="none" w:sz="0" w:space="0" w:color="auto"/>
            </w:tcBorders>
          </w:tcPr>
          <w:p w14:paraId="0725A5C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ASSESS (need, baseline)</w:t>
            </w:r>
          </w:p>
        </w:tc>
        <w:tc>
          <w:tcPr>
            <w:tcW w:w="2352" w:type="dxa"/>
            <w:tcBorders>
              <w:bottom w:val="none" w:sz="0" w:space="0" w:color="auto"/>
            </w:tcBorders>
          </w:tcPr>
          <w:p w14:paraId="00A53A37" w14:textId="77777777" w:rsidR="001D3D42" w:rsidRDefault="001D3D42">
            <w:pPr>
              <w:cnfStyle w:val="100000000000" w:firstRow="1" w:lastRow="0" w:firstColumn="0" w:lastColumn="0" w:oddVBand="0" w:evenVBand="0" w:oddHBand="0" w:evenHBand="0" w:firstRowFirstColumn="0" w:firstRowLastColumn="0" w:lastRowFirstColumn="0" w:lastRowLastColumn="0"/>
              <w:rPr>
                <w:kern w:val="2"/>
                <w:lang w:val="en-GB" w:eastAsia="en-GB"/>
                <w14:ligatures w14:val="standardContextual"/>
              </w:rPr>
            </w:pPr>
            <w:r>
              <w:rPr>
                <w:rFonts w:ascii="Calibri" w:hAnsi="Calibri" w:cs="Calibri"/>
                <w:b w:val="0"/>
                <w:bCs w:val="0"/>
                <w:color w:val="FFFFFF"/>
              </w:rPr>
              <w:t>PLAN (targets, provision, resources)</w:t>
            </w:r>
          </w:p>
          <w:p w14:paraId="4A5687CF" w14:textId="235B4CFD" w:rsidR="00576389" w:rsidRPr="0012137E" w:rsidRDefault="0057638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Borders>
              <w:bottom w:val="none" w:sz="0" w:space="0" w:color="auto"/>
            </w:tcBorders>
          </w:tcPr>
          <w:p w14:paraId="74A4DDF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DO (delivery &amp; adaptations)</w:t>
            </w:r>
          </w:p>
        </w:tc>
        <w:tc>
          <w:tcPr>
            <w:tcW w:w="2352" w:type="dxa"/>
            <w:tcBorders>
              <w:bottom w:val="none" w:sz="0" w:space="0" w:color="auto"/>
            </w:tcBorders>
          </w:tcPr>
          <w:p w14:paraId="73E4882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REVIEW (impact, next steps)</w:t>
            </w:r>
          </w:p>
        </w:tc>
        <w:tc>
          <w:tcPr>
            <w:tcW w:w="2352" w:type="dxa"/>
            <w:tcBorders>
              <w:bottom w:val="none" w:sz="0" w:space="0" w:color="auto"/>
            </w:tcBorders>
          </w:tcPr>
          <w:p w14:paraId="2147186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Outcome vs. targets</w:t>
            </w:r>
          </w:p>
        </w:tc>
      </w:tr>
      <w:tr w:rsidR="00576389" w:rsidRPr="0012137E" w14:paraId="1D190027"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2E833E37" w14:textId="77777777" w:rsidR="00576389" w:rsidRPr="0012137E" w:rsidRDefault="00576389">
            <w:pPr>
              <w:rPr>
                <w:rFonts w:asciiTheme="majorHAnsi" w:hAnsiTheme="majorHAnsi" w:cstheme="majorHAnsi"/>
              </w:rPr>
            </w:pPr>
          </w:p>
        </w:tc>
        <w:tc>
          <w:tcPr>
            <w:tcW w:w="2352" w:type="dxa"/>
          </w:tcPr>
          <w:p w14:paraId="7BF69E6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3F2851E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8DBD00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3C8A21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2FE33E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0B6ACF19"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6327A1AC" w14:textId="77777777" w:rsidR="00576389" w:rsidRPr="0012137E" w:rsidRDefault="00576389">
            <w:pPr>
              <w:rPr>
                <w:rFonts w:asciiTheme="majorHAnsi" w:hAnsiTheme="majorHAnsi" w:cstheme="majorHAnsi"/>
              </w:rPr>
            </w:pPr>
          </w:p>
        </w:tc>
        <w:tc>
          <w:tcPr>
            <w:tcW w:w="2352" w:type="dxa"/>
          </w:tcPr>
          <w:p w14:paraId="0272249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FF29E4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49AEF97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8A420F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B91976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41719D7F"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1B97A2CA" w14:textId="77777777" w:rsidR="00576389" w:rsidRPr="0012137E" w:rsidRDefault="00576389">
            <w:pPr>
              <w:rPr>
                <w:rFonts w:asciiTheme="majorHAnsi" w:hAnsiTheme="majorHAnsi" w:cstheme="majorHAnsi"/>
              </w:rPr>
            </w:pPr>
          </w:p>
        </w:tc>
        <w:tc>
          <w:tcPr>
            <w:tcW w:w="2352" w:type="dxa"/>
          </w:tcPr>
          <w:p w14:paraId="234CD56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55A3CF32"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85097E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6DFE0C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BF92D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4FB8EE3F"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3EB3E4FB" w14:textId="77777777" w:rsidR="00576389" w:rsidRPr="0012137E" w:rsidRDefault="00576389">
            <w:pPr>
              <w:rPr>
                <w:rFonts w:asciiTheme="majorHAnsi" w:hAnsiTheme="majorHAnsi" w:cstheme="majorHAnsi"/>
              </w:rPr>
            </w:pPr>
          </w:p>
        </w:tc>
        <w:tc>
          <w:tcPr>
            <w:tcW w:w="2352" w:type="dxa"/>
          </w:tcPr>
          <w:p w14:paraId="166454D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21785E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7B79124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EBE6D4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A732E0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1264D80C"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0498D9D5" w14:textId="77777777" w:rsidR="00576389" w:rsidRPr="0012137E" w:rsidRDefault="00576389">
            <w:pPr>
              <w:rPr>
                <w:rFonts w:asciiTheme="majorHAnsi" w:hAnsiTheme="majorHAnsi" w:cstheme="majorHAnsi"/>
              </w:rPr>
            </w:pPr>
          </w:p>
        </w:tc>
        <w:tc>
          <w:tcPr>
            <w:tcW w:w="2352" w:type="dxa"/>
          </w:tcPr>
          <w:p w14:paraId="76E965E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2F7C24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E5432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674E513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428F66B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12D5E4F3"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41C0FC1B" w14:textId="77777777" w:rsidR="00576389" w:rsidRPr="0012137E" w:rsidRDefault="00576389">
            <w:pPr>
              <w:rPr>
                <w:rFonts w:asciiTheme="majorHAnsi" w:hAnsiTheme="majorHAnsi" w:cstheme="majorHAnsi"/>
              </w:rPr>
            </w:pPr>
          </w:p>
        </w:tc>
        <w:tc>
          <w:tcPr>
            <w:tcW w:w="2352" w:type="dxa"/>
          </w:tcPr>
          <w:p w14:paraId="2394770B"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1A7B5AB"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9F11E5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225B271"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B3B73C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28FD2B64"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32BD0C94" w14:textId="77777777" w:rsidR="00576389" w:rsidRPr="0012137E" w:rsidRDefault="00576389">
            <w:pPr>
              <w:rPr>
                <w:rFonts w:asciiTheme="majorHAnsi" w:hAnsiTheme="majorHAnsi" w:cstheme="majorHAnsi"/>
              </w:rPr>
            </w:pPr>
          </w:p>
        </w:tc>
        <w:tc>
          <w:tcPr>
            <w:tcW w:w="2352" w:type="dxa"/>
          </w:tcPr>
          <w:p w14:paraId="19985C7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520EF4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5B87E4F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767825E"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901113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5D51EF58"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137663B6" w14:textId="77777777" w:rsidR="00576389" w:rsidRPr="0012137E" w:rsidRDefault="00576389">
            <w:pPr>
              <w:rPr>
                <w:rFonts w:asciiTheme="majorHAnsi" w:hAnsiTheme="majorHAnsi" w:cstheme="majorHAnsi"/>
              </w:rPr>
            </w:pPr>
          </w:p>
        </w:tc>
        <w:tc>
          <w:tcPr>
            <w:tcW w:w="2352" w:type="dxa"/>
          </w:tcPr>
          <w:p w14:paraId="3FDC026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7655EA1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9031E3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7AA3EE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093BFC7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7327C8DE"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2B57FC0E" w14:textId="77777777" w:rsidR="00576389" w:rsidRPr="0012137E" w:rsidRDefault="00576389">
            <w:pPr>
              <w:rPr>
                <w:rFonts w:asciiTheme="majorHAnsi" w:hAnsiTheme="majorHAnsi" w:cstheme="majorHAnsi"/>
              </w:rPr>
            </w:pPr>
          </w:p>
        </w:tc>
        <w:tc>
          <w:tcPr>
            <w:tcW w:w="2352" w:type="dxa"/>
          </w:tcPr>
          <w:p w14:paraId="696D6CF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F93AC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6551E832"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245AD9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62060A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2DB6E21F"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5851D852" w14:textId="77777777" w:rsidR="00576389" w:rsidRPr="0012137E" w:rsidRDefault="00576389">
            <w:pPr>
              <w:rPr>
                <w:rFonts w:asciiTheme="majorHAnsi" w:hAnsiTheme="majorHAnsi" w:cstheme="majorHAnsi"/>
              </w:rPr>
            </w:pPr>
          </w:p>
        </w:tc>
        <w:tc>
          <w:tcPr>
            <w:tcW w:w="2352" w:type="dxa"/>
          </w:tcPr>
          <w:p w14:paraId="56E49C6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B4FFFD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717BE3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4E82FC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A7D8DD5"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5C0D8C83" w14:textId="77777777" w:rsidR="00576389" w:rsidRPr="0012137E" w:rsidRDefault="00576389">
      <w:pPr>
        <w:rPr>
          <w:rFonts w:asciiTheme="majorHAnsi" w:hAnsiTheme="majorHAnsi" w:cstheme="majorHAnsi"/>
        </w:rPr>
      </w:pPr>
    </w:p>
    <w:p w14:paraId="0ED461D9" w14:textId="77777777" w:rsidR="00576389" w:rsidRPr="0012137E" w:rsidRDefault="007F600D">
      <w:pPr>
        <w:pStyle w:val="Heading2"/>
        <w:rPr>
          <w:rFonts w:cstheme="majorHAnsi"/>
          <w:color w:val="auto"/>
        </w:rPr>
      </w:pPr>
      <w:r w:rsidRPr="0012137E">
        <w:rPr>
          <w:rFonts w:cstheme="majorHAnsi"/>
          <w:color w:val="auto"/>
        </w:rPr>
        <w:t>Data &amp; Analytics – Inclusion and Equity Indicators</w:t>
      </w:r>
    </w:p>
    <w:p w14:paraId="0E061216" w14:textId="77777777" w:rsidR="001D3D42" w:rsidRDefault="001D3D42" w:rsidP="001D3D42">
      <w:pPr>
        <w:pStyle w:val="ListBullet"/>
        <w:rPr>
          <w:kern w:val="2"/>
          <w:lang w:val="en-GB" w:eastAsia="en-GB"/>
          <w14:ligatures w14:val="standardContextual"/>
        </w:rPr>
      </w:pPr>
      <w:r>
        <w:t>Achievement, retention and progression for CLA, PLAC, CWSW, SEND, disadvantaged and intersectional groups, with appropriate contextual and provider comparisons where available.</w:t>
      </w:r>
    </w:p>
    <w:p w14:paraId="40037017" w14:textId="77777777" w:rsidR="001D3D42" w:rsidRDefault="001D3D42" w:rsidP="001D3D42">
      <w:pPr>
        <w:pStyle w:val="ListBullet"/>
        <w:rPr>
          <w:kern w:val="2"/>
          <w:lang w:val="en-GB" w:eastAsia="en-GB"/>
          <w14:ligatures w14:val="standardContextual"/>
        </w:rPr>
      </w:pPr>
      <w:r>
        <w:t xml:space="preserve">Attendance, engagement, retention and re-engagement, including learners with EHCPs, learners joining after disrupted education and learners on bespoke or reduced </w:t>
      </w:r>
      <w:proofErr w:type="spellStart"/>
      <w:r>
        <w:t>programmes</w:t>
      </w:r>
      <w:proofErr w:type="spellEnd"/>
      <w:r>
        <w:t>.</w:t>
      </w:r>
    </w:p>
    <w:p w14:paraId="4D2EADB1" w14:textId="77777777" w:rsidR="001D3D42" w:rsidRDefault="001D3D42" w:rsidP="001D3D42">
      <w:pPr>
        <w:pStyle w:val="ListBullet"/>
        <w:rPr>
          <w:kern w:val="2"/>
          <w:lang w:val="en-GB" w:eastAsia="en-GB"/>
          <w14:ligatures w14:val="standardContextual"/>
        </w:rPr>
      </w:pPr>
      <w:r>
        <w:t>Progression planning, destination outcomes, sustained EET, supported internships, apprenticeships, further learning, employment and independent living outcomes where relevant.</w:t>
      </w:r>
    </w:p>
    <w:p w14:paraId="4921E063" w14:textId="77777777" w:rsidR="001D3D42" w:rsidRDefault="001D3D42" w:rsidP="001D3D42">
      <w:pPr>
        <w:pStyle w:val="ListBullet"/>
        <w:rPr>
          <w:kern w:val="2"/>
          <w:lang w:val="en-GB" w:eastAsia="en-GB"/>
          <w14:ligatures w14:val="standardContextual"/>
        </w:rPr>
      </w:pPr>
      <w:r>
        <w:t>Access to curriculum pathways, enrichment, learner leadership, careers encounters, employer engagement and wider personal development.</w:t>
      </w:r>
    </w:p>
    <w:p w14:paraId="102AD29E" w14:textId="77777777" w:rsidR="00576389" w:rsidRPr="0012137E" w:rsidRDefault="007F600D">
      <w:pPr>
        <w:pStyle w:val="ListBullet"/>
        <w:spacing w:after="40"/>
        <w:rPr>
          <w:rFonts w:asciiTheme="majorHAnsi" w:hAnsiTheme="majorHAnsi" w:cstheme="majorHAnsi"/>
        </w:rPr>
      </w:pPr>
      <w:r w:rsidRPr="0012137E">
        <w:rPr>
          <w:rFonts w:asciiTheme="majorHAnsi" w:hAnsiTheme="majorHAnsi" w:cstheme="majorHAnsi"/>
        </w:rPr>
        <w:t>PEP quality/timeliness, learner participation and carer/SW engagement rates.</w:t>
      </w:r>
    </w:p>
    <w:p w14:paraId="55DEB98F" w14:textId="77777777" w:rsidR="00576389" w:rsidRPr="0012137E" w:rsidRDefault="007F600D">
      <w:pPr>
        <w:pStyle w:val="ListBullet"/>
        <w:spacing w:after="40"/>
        <w:rPr>
          <w:rFonts w:asciiTheme="majorHAnsi" w:hAnsiTheme="majorHAnsi" w:cstheme="majorHAnsi"/>
        </w:rPr>
      </w:pPr>
      <w:r w:rsidRPr="0012137E">
        <w:rPr>
          <w:rFonts w:asciiTheme="majorHAnsi" w:hAnsiTheme="majorHAnsi" w:cstheme="majorHAnsi"/>
        </w:rPr>
        <w:t>Post-16 EET, re-engagement and destinations for care-experienced learners.</w:t>
      </w:r>
    </w:p>
    <w:p w14:paraId="59921355" w14:textId="77777777" w:rsidR="00793301" w:rsidRPr="00793301" w:rsidRDefault="00793301" w:rsidP="00793301">
      <w:pPr>
        <w:pStyle w:val="ListBullet"/>
        <w:rPr>
          <w:rFonts w:asciiTheme="majorHAnsi" w:hAnsiTheme="majorHAnsi" w:cstheme="majorHAnsi"/>
        </w:rPr>
      </w:pPr>
      <w:r>
        <w:lastRenderedPageBreak/>
        <w:t xml:space="preserve">Safeguarding culture indicators, including early identification of harm, bullying, discrimination, harassment, </w:t>
      </w:r>
      <w:proofErr w:type="spellStart"/>
      <w:r>
        <w:t>victimisation</w:t>
      </w:r>
      <w:proofErr w:type="spellEnd"/>
      <w:r>
        <w:t xml:space="preserve"> and how leaders respond when concerns are raised.</w:t>
      </w:r>
    </w:p>
    <w:p w14:paraId="5C818BB3" w14:textId="77777777" w:rsidR="00576389" w:rsidRPr="0012137E" w:rsidRDefault="007F600D">
      <w:pPr>
        <w:pStyle w:val="Heading2"/>
        <w:rPr>
          <w:rFonts w:cstheme="majorHAnsi"/>
          <w:color w:val="auto"/>
        </w:rPr>
      </w:pPr>
      <w:r w:rsidRPr="0012137E">
        <w:rPr>
          <w:rFonts w:cstheme="majorHAnsi"/>
          <w:color w:val="auto"/>
        </w:rPr>
        <w:t>References</w:t>
      </w:r>
    </w:p>
    <w:p w14:paraId="5193936B" w14:textId="77777777" w:rsidR="001D3D42" w:rsidRDefault="001D3D42" w:rsidP="001D3D42">
      <w:pPr>
        <w:pStyle w:val="ListBullet"/>
        <w:rPr>
          <w:kern w:val="2"/>
          <w:lang w:val="en-GB" w:eastAsia="en-GB"/>
          <w14:ligatures w14:val="standardContextual"/>
        </w:rPr>
      </w:pPr>
      <w:r>
        <w:t>DfE (2018). Statutory guidance: The designated teacher for looked-after and previously looked-after children.</w:t>
      </w:r>
    </w:p>
    <w:p w14:paraId="258B6104" w14:textId="77777777" w:rsidR="001D3D42" w:rsidRDefault="001D3D42" w:rsidP="001D3D42">
      <w:pPr>
        <w:pStyle w:val="ListBullet"/>
      </w:pPr>
      <w:r>
        <w:t>DfE (2018). Promoting the education of looked-after children and previously looked-after children.</w:t>
      </w:r>
    </w:p>
    <w:p w14:paraId="6F159491" w14:textId="77777777" w:rsidR="001D3D42" w:rsidRDefault="001D3D42" w:rsidP="001D3D42">
      <w:pPr>
        <w:pStyle w:val="ListBullet"/>
      </w:pPr>
      <w:r>
        <w:t>Ofsted (2011). Progression post-16 for learners with learning difficulties and/or disabilities.</w:t>
      </w:r>
    </w:p>
    <w:p w14:paraId="29F16EC5" w14:textId="77777777" w:rsidR="001D3D42" w:rsidRDefault="001D3D42" w:rsidP="001D3D42">
      <w:pPr>
        <w:pStyle w:val="ListBullet"/>
      </w:pPr>
      <w:r>
        <w:t>DfE (2026). Post-16 intervention and accountability.</w:t>
      </w:r>
    </w:p>
    <w:sectPr w:rsidR="001D3D42" w:rsidSect="00034616">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C7AD7"/>
    <w:multiLevelType w:val="multilevel"/>
    <w:tmpl w:val="C0D4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736EFA"/>
    <w:multiLevelType w:val="multilevel"/>
    <w:tmpl w:val="54C2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90B77"/>
    <w:multiLevelType w:val="multilevel"/>
    <w:tmpl w:val="02E6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01AB0"/>
    <w:multiLevelType w:val="multilevel"/>
    <w:tmpl w:val="0942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94DE8"/>
    <w:multiLevelType w:val="multilevel"/>
    <w:tmpl w:val="F2AA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15D71"/>
    <w:multiLevelType w:val="multilevel"/>
    <w:tmpl w:val="23D8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CE0F1C"/>
    <w:multiLevelType w:val="multilevel"/>
    <w:tmpl w:val="AD3A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E92D58"/>
    <w:multiLevelType w:val="multilevel"/>
    <w:tmpl w:val="8790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A526D"/>
    <w:multiLevelType w:val="multilevel"/>
    <w:tmpl w:val="BCAE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ED6599"/>
    <w:multiLevelType w:val="multilevel"/>
    <w:tmpl w:val="DB8C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A3B94"/>
    <w:multiLevelType w:val="multilevel"/>
    <w:tmpl w:val="C2EC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A96066"/>
    <w:multiLevelType w:val="multilevel"/>
    <w:tmpl w:val="F910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814B9"/>
    <w:multiLevelType w:val="multilevel"/>
    <w:tmpl w:val="637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C76B4C"/>
    <w:multiLevelType w:val="multilevel"/>
    <w:tmpl w:val="275A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9B57A7"/>
    <w:multiLevelType w:val="multilevel"/>
    <w:tmpl w:val="B06C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71344"/>
    <w:multiLevelType w:val="multilevel"/>
    <w:tmpl w:val="98D0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22300"/>
    <w:multiLevelType w:val="multilevel"/>
    <w:tmpl w:val="E346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502181">
    <w:abstractNumId w:val="11"/>
  </w:num>
  <w:num w:numId="2" w16cid:durableId="1018123006">
    <w:abstractNumId w:val="2"/>
  </w:num>
  <w:num w:numId="3" w16cid:durableId="1031103092">
    <w:abstractNumId w:val="9"/>
  </w:num>
  <w:num w:numId="4" w16cid:durableId="1047988910">
    <w:abstractNumId w:val="17"/>
  </w:num>
  <w:num w:numId="5" w16cid:durableId="1153761589">
    <w:abstractNumId w:val="15"/>
  </w:num>
  <w:num w:numId="6" w16cid:durableId="1155609647">
    <w:abstractNumId w:val="10"/>
  </w:num>
  <w:num w:numId="7" w16cid:durableId="1245186126">
    <w:abstractNumId w:val="12"/>
  </w:num>
  <w:num w:numId="8" w16cid:durableId="1302883144">
    <w:abstractNumId w:val="24"/>
  </w:num>
  <w:num w:numId="9" w16cid:durableId="1553730814">
    <w:abstractNumId w:val="25"/>
  </w:num>
  <w:num w:numId="10" w16cid:durableId="1766145684">
    <w:abstractNumId w:val="1"/>
  </w:num>
  <w:num w:numId="11" w16cid:durableId="1796634076">
    <w:abstractNumId w:val="14"/>
  </w:num>
  <w:num w:numId="12" w16cid:durableId="1817337897">
    <w:abstractNumId w:val="18"/>
  </w:num>
  <w:num w:numId="13" w16cid:durableId="1949728046">
    <w:abstractNumId w:val="8"/>
  </w:num>
  <w:num w:numId="14" w16cid:durableId="1979411454">
    <w:abstractNumId w:val="6"/>
  </w:num>
  <w:num w:numId="15" w16cid:durableId="1996493722">
    <w:abstractNumId w:val="20"/>
  </w:num>
  <w:num w:numId="16" w16cid:durableId="1998069554">
    <w:abstractNumId w:val="0"/>
  </w:num>
  <w:num w:numId="17" w16cid:durableId="2082756325">
    <w:abstractNumId w:val="5"/>
  </w:num>
  <w:num w:numId="18" w16cid:durableId="230580554">
    <w:abstractNumId w:val="7"/>
  </w:num>
  <w:num w:numId="19" w16cid:durableId="242228487">
    <w:abstractNumId w:val="3"/>
  </w:num>
  <w:num w:numId="20" w16cid:durableId="326634896">
    <w:abstractNumId w:val="4"/>
  </w:num>
  <w:num w:numId="21" w16cid:durableId="339738769">
    <w:abstractNumId w:val="16"/>
  </w:num>
  <w:num w:numId="22" w16cid:durableId="565845803">
    <w:abstractNumId w:val="19"/>
  </w:num>
  <w:num w:numId="23" w16cid:durableId="83888720">
    <w:abstractNumId w:val="21"/>
  </w:num>
  <w:num w:numId="24" w16cid:durableId="877547633">
    <w:abstractNumId w:val="22"/>
  </w:num>
  <w:num w:numId="25" w16cid:durableId="878082233">
    <w:abstractNumId w:val="13"/>
  </w:num>
  <w:num w:numId="26" w16cid:durableId="9335914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37E"/>
    <w:rsid w:val="001225D6"/>
    <w:rsid w:val="001330D5"/>
    <w:rsid w:val="0015074B"/>
    <w:rsid w:val="00153FF5"/>
    <w:rsid w:val="001642FD"/>
    <w:rsid w:val="00167BFA"/>
    <w:rsid w:val="001955AD"/>
    <w:rsid w:val="001C1004"/>
    <w:rsid w:val="001C7CB7"/>
    <w:rsid w:val="001D2908"/>
    <w:rsid w:val="001D3D42"/>
    <w:rsid w:val="001D3EFA"/>
    <w:rsid w:val="001D5C5E"/>
    <w:rsid w:val="00206974"/>
    <w:rsid w:val="002113F1"/>
    <w:rsid w:val="00224726"/>
    <w:rsid w:val="0029639D"/>
    <w:rsid w:val="00311182"/>
    <w:rsid w:val="00326F90"/>
    <w:rsid w:val="00334E1B"/>
    <w:rsid w:val="00351AC8"/>
    <w:rsid w:val="003702DF"/>
    <w:rsid w:val="00384F05"/>
    <w:rsid w:val="003A0003"/>
    <w:rsid w:val="003B2119"/>
    <w:rsid w:val="003D06AC"/>
    <w:rsid w:val="003F348C"/>
    <w:rsid w:val="00414D19"/>
    <w:rsid w:val="00416096"/>
    <w:rsid w:val="0044435A"/>
    <w:rsid w:val="00454771"/>
    <w:rsid w:val="00467A38"/>
    <w:rsid w:val="00482A2F"/>
    <w:rsid w:val="004A6326"/>
    <w:rsid w:val="004B4E9A"/>
    <w:rsid w:val="004F45DF"/>
    <w:rsid w:val="004F6559"/>
    <w:rsid w:val="00511E2A"/>
    <w:rsid w:val="00514241"/>
    <w:rsid w:val="0056120C"/>
    <w:rsid w:val="00576389"/>
    <w:rsid w:val="005776D2"/>
    <w:rsid w:val="00577CC8"/>
    <w:rsid w:val="00610340"/>
    <w:rsid w:val="006127EB"/>
    <w:rsid w:val="00655F18"/>
    <w:rsid w:val="006852B0"/>
    <w:rsid w:val="006C6D24"/>
    <w:rsid w:val="006D714F"/>
    <w:rsid w:val="00713A43"/>
    <w:rsid w:val="00787106"/>
    <w:rsid w:val="00793301"/>
    <w:rsid w:val="00793C61"/>
    <w:rsid w:val="00797CC0"/>
    <w:rsid w:val="007F600D"/>
    <w:rsid w:val="007F7742"/>
    <w:rsid w:val="0084483D"/>
    <w:rsid w:val="00847DE5"/>
    <w:rsid w:val="00850A50"/>
    <w:rsid w:val="00866502"/>
    <w:rsid w:val="00880402"/>
    <w:rsid w:val="00896EDA"/>
    <w:rsid w:val="008D32D2"/>
    <w:rsid w:val="008D3718"/>
    <w:rsid w:val="008E0D25"/>
    <w:rsid w:val="00924AA5"/>
    <w:rsid w:val="009B1BEA"/>
    <w:rsid w:val="009C1D81"/>
    <w:rsid w:val="00A02D0A"/>
    <w:rsid w:val="00A05A0E"/>
    <w:rsid w:val="00A16ACF"/>
    <w:rsid w:val="00A5776D"/>
    <w:rsid w:val="00A669E6"/>
    <w:rsid w:val="00AA1D8D"/>
    <w:rsid w:val="00AA3A1C"/>
    <w:rsid w:val="00AB0867"/>
    <w:rsid w:val="00B04297"/>
    <w:rsid w:val="00B21BB6"/>
    <w:rsid w:val="00B45695"/>
    <w:rsid w:val="00B47730"/>
    <w:rsid w:val="00B60E83"/>
    <w:rsid w:val="00B752D8"/>
    <w:rsid w:val="00BA1283"/>
    <w:rsid w:val="00C40389"/>
    <w:rsid w:val="00CB0664"/>
    <w:rsid w:val="00D25D75"/>
    <w:rsid w:val="00D8088A"/>
    <w:rsid w:val="00DB5790"/>
    <w:rsid w:val="00E22A5C"/>
    <w:rsid w:val="00E40FFE"/>
    <w:rsid w:val="00E61B60"/>
    <w:rsid w:val="00E708AD"/>
    <w:rsid w:val="00E73B30"/>
    <w:rsid w:val="00E96428"/>
    <w:rsid w:val="00ED2C5A"/>
    <w:rsid w:val="00ED308B"/>
    <w:rsid w:val="00ED50A0"/>
    <w:rsid w:val="00EE6256"/>
    <w:rsid w:val="00F04A32"/>
    <w:rsid w:val="00F84DB1"/>
    <w:rsid w:val="00F8633A"/>
    <w:rsid w:val="00FC693F"/>
    <w:rsid w:val="4B7CA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12BAC"/>
  <w14:defaultImageDpi w14:val="300"/>
  <w15:docId w15:val="{A5B54E8D-82A4-4590-B251-C0F943F3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F1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3"/>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7"/>
      </w:numPr>
      <w:contextualSpacing/>
    </w:pPr>
  </w:style>
  <w:style w:type="paragraph" w:styleId="ListNumber">
    <w:name w:val="List Number"/>
    <w:basedOn w:val="Normal"/>
    <w:uiPriority w:val="99"/>
    <w:unhideWhenUsed/>
    <w:rsid w:val="00326F90"/>
    <w:pPr>
      <w:numPr>
        <w:numId w:val="18"/>
      </w:numPr>
      <w:contextualSpacing/>
    </w:pPr>
  </w:style>
  <w:style w:type="paragraph" w:styleId="ListNumber2">
    <w:name w:val="List Number 2"/>
    <w:basedOn w:val="Normal"/>
    <w:uiPriority w:val="99"/>
    <w:unhideWhenUsed/>
    <w:rsid w:val="0029639D"/>
    <w:pPr>
      <w:numPr>
        <w:numId w:val="19"/>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60E83"/>
    <w:rPr>
      <w:sz w:val="16"/>
      <w:szCs w:val="16"/>
    </w:rPr>
  </w:style>
  <w:style w:type="paragraph" w:styleId="CommentText">
    <w:name w:val="annotation text"/>
    <w:basedOn w:val="Normal"/>
    <w:link w:val="CommentTextChar"/>
    <w:uiPriority w:val="99"/>
    <w:unhideWhenUsed/>
    <w:rsid w:val="00B60E83"/>
    <w:pPr>
      <w:spacing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B60E83"/>
    <w:rPr>
      <w:rFonts w:eastAsiaTheme="minorHAnsi"/>
      <w:sz w:val="20"/>
      <w:szCs w:val="20"/>
      <w:lang w:val="en-GB"/>
    </w:rPr>
  </w:style>
  <w:style w:type="character" w:styleId="Mention">
    <w:name w:val="Mention"/>
    <w:basedOn w:val="DefaultParagraphFont"/>
    <w:uiPriority w:val="99"/>
    <w:unhideWhenUsed/>
    <w:rsid w:val="00B60E83"/>
    <w:rPr>
      <w:color w:val="2B579A"/>
      <w:shd w:val="clear" w:color="auto" w:fill="E1DFDD"/>
    </w:rPr>
  </w:style>
  <w:style w:type="character" w:styleId="Hyperlink">
    <w:name w:val="Hyperlink"/>
    <w:basedOn w:val="DefaultParagraphFont"/>
    <w:uiPriority w:val="99"/>
    <w:unhideWhenUsed/>
    <w:rsid w:val="00B60E83"/>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D25D75"/>
    <w:rPr>
      <w:rFonts w:eastAsiaTheme="minorEastAsia"/>
      <w:b/>
      <w:bCs/>
      <w:lang w:val="en-US"/>
    </w:rPr>
  </w:style>
  <w:style w:type="character" w:customStyle="1" w:styleId="CommentSubjectChar">
    <w:name w:val="Comment Subject Char"/>
    <w:basedOn w:val="CommentTextChar"/>
    <w:link w:val="CommentSubject"/>
    <w:uiPriority w:val="99"/>
    <w:semiHidden/>
    <w:rsid w:val="00D25D75"/>
    <w:rPr>
      <w:rFonts w:eastAsiaTheme="minorHAns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b5e78d0e4e40653f00b0e7e628a19751">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b9e52bd8dbfedb8831a5ed3ea5b2674a"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C56994F-F13A-44AB-914F-F833EF227A98}">
  <ds:schemaRefs>
    <ds:schemaRef ds:uri="http://schemas.microsoft.com/sharepoint/v3/contenttype/forms"/>
  </ds:schemaRefs>
</ds:datastoreItem>
</file>

<file path=customXml/itemProps3.xml><?xml version="1.0" encoding="utf-8"?>
<ds:datastoreItem xmlns:ds="http://schemas.openxmlformats.org/officeDocument/2006/customXml" ds:itemID="{DDD0C29E-CB1A-4771-9616-A1864A36C18C}">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customXml/itemProps4.xml><?xml version="1.0" encoding="utf-8"?>
<ds:datastoreItem xmlns:ds="http://schemas.openxmlformats.org/officeDocument/2006/customXml" ds:itemID="{19E62DBB-F3CA-461C-9242-D4053F08B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2804</Words>
  <Characters>15984</Characters>
  <Application>Microsoft Office Word</Application>
  <DocSecurity>0</DocSecurity>
  <Lines>133</Lines>
  <Paragraphs>37</Paragraphs>
  <ScaleCrop>false</ScaleCrop>
  <Manager/>
  <Company/>
  <LinksUpToDate>false</LinksUpToDate>
  <CharactersWithSpaces>18751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Kinsey, Rachel</cp:lastModifiedBy>
  <cp:revision>2</cp:revision>
  <dcterms:created xsi:type="dcterms:W3CDTF">2026-11-06T13:09:00Z</dcterms:created>
  <dcterms:modified xsi:type="dcterms:W3CDTF">2026-11-06T13:09:00Z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MediaServiceImageTags">
    <vt:lpwstr/>
  </property>
  <property fmtid="{D5CDD505-2E9C-101B-9397-08002B2CF9AE}" pid="4" name="docLang">
    <vt:lpwstr>en</vt:lpwstr>
  </property>
</Properties>
</file>