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55ED49EF">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55ED49EF">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1A8061AF" w:rsidR="003E6252" w:rsidRPr="00FD32EB" w:rsidRDefault="004D2A10" w:rsidP="009A4FE8">
            <w:pPr>
              <w:spacing w:after="0"/>
              <w:rPr>
                <w:rFonts w:ascii="Arial" w:hAnsi="Arial" w:cs="Arial"/>
              </w:rPr>
            </w:pPr>
            <w:r w:rsidRPr="004D2A10">
              <w:rPr>
                <w:rFonts w:ascii="Arial" w:hAnsi="Arial" w:cs="Arial"/>
              </w:rPr>
              <w:t>CUCAP Intermediate Care Allocation Team</w:t>
            </w:r>
          </w:p>
        </w:tc>
      </w:tr>
      <w:tr w:rsidR="00CC31A1" w:rsidRPr="00BE7A35" w14:paraId="0DF918C4" w14:textId="77777777" w:rsidTr="001B3216">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65D4D20C" w:rsidR="00CC31A1" w:rsidRPr="00A447BE" w:rsidRDefault="004D2A10" w:rsidP="005E7B78">
            <w:pPr>
              <w:spacing w:after="0"/>
              <w:rPr>
                <w:rFonts w:ascii="Arial" w:hAnsi="Arial" w:cs="Arial"/>
                <w:sz w:val="24"/>
                <w:szCs w:val="24"/>
              </w:rPr>
            </w:pPr>
            <w:r>
              <w:rPr>
                <w:rFonts w:ascii="Arial" w:hAnsi="Arial" w:cs="Arial"/>
                <w:sz w:val="24"/>
                <w:szCs w:val="24"/>
              </w:rPr>
              <w:t xml:space="preserve">Wyre – Thornton </w:t>
            </w:r>
            <w:r w:rsidR="0055380F">
              <w:rPr>
                <w:rFonts w:ascii="Arial" w:hAnsi="Arial" w:cs="Arial"/>
                <w:sz w:val="24"/>
                <w:szCs w:val="24"/>
              </w:rPr>
              <w:t xml:space="preserve"> </w:t>
            </w:r>
          </w:p>
        </w:tc>
      </w:tr>
      <w:tr w:rsidR="003C57AB" w:rsidRPr="00BE7A35" w14:paraId="36012173" w14:textId="77777777" w:rsidTr="55ED49EF">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61EF7812" w:rsidR="003C57AB" w:rsidRPr="00A447BE" w:rsidRDefault="00D47FDC" w:rsidP="002D61C2">
            <w:pPr>
              <w:spacing w:after="0"/>
              <w:rPr>
                <w:rFonts w:ascii="Arial" w:hAnsi="Arial" w:cs="Arial"/>
                <w:sz w:val="24"/>
                <w:szCs w:val="24"/>
              </w:rPr>
            </w:pPr>
            <w:r w:rsidRPr="00D47FDC">
              <w:rPr>
                <w:rFonts w:ascii="Arial" w:hAnsi="Arial" w:cs="Arial"/>
                <w:sz w:val="24"/>
                <w:szCs w:val="24"/>
              </w:rPr>
              <w:t>£35,235</w:t>
            </w:r>
            <w:r>
              <w:rPr>
                <w:rFonts w:ascii="Arial" w:hAnsi="Arial" w:cs="Arial"/>
                <w:sz w:val="24"/>
                <w:szCs w:val="24"/>
              </w:rPr>
              <w:t xml:space="preserve"> - </w:t>
            </w:r>
            <w:r w:rsidR="0029673B" w:rsidRPr="0029673B">
              <w:rPr>
                <w:rFonts w:ascii="Arial" w:hAnsi="Arial" w:cs="Arial"/>
                <w:sz w:val="24"/>
                <w:szCs w:val="24"/>
              </w:rPr>
              <w:t>£39,513</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30E84357" w:rsidR="003C57AB" w:rsidRPr="00BE7A35" w:rsidRDefault="00B0791D"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55ED49EF">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094C9A0" w:rsidR="003C57AB" w:rsidRPr="00A447BE" w:rsidRDefault="004D2A10" w:rsidP="003C57AB">
            <w:pPr>
              <w:spacing w:after="0"/>
              <w:rPr>
                <w:rFonts w:ascii="Arial" w:hAnsi="Arial" w:cs="Arial"/>
                <w:sz w:val="24"/>
                <w:szCs w:val="24"/>
              </w:rPr>
            </w:pPr>
            <w:r>
              <w:rPr>
                <w:rFonts w:ascii="Arial" w:hAnsi="Arial" w:cs="Arial"/>
                <w:sz w:val="24"/>
                <w:szCs w:val="24"/>
              </w:rPr>
              <w:t>Service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50B22F07" w:rsidR="003C57AB" w:rsidRPr="00BE7A35" w:rsidRDefault="00B0791D" w:rsidP="003C57AB">
            <w:pPr>
              <w:spacing w:after="0"/>
              <w:rPr>
                <w:rFonts w:ascii="Arial" w:hAnsi="Arial" w:cs="Arial"/>
                <w:sz w:val="24"/>
                <w:szCs w:val="24"/>
              </w:rPr>
            </w:pPr>
            <w:r>
              <w:rPr>
                <w:rFonts w:ascii="Arial" w:hAnsi="Arial" w:cs="Arial"/>
                <w:sz w:val="24"/>
                <w:szCs w:val="24"/>
              </w:rPr>
              <w:t>N/A</w:t>
            </w:r>
            <w:r w:rsidR="0055380F">
              <w:rPr>
                <w:rFonts w:ascii="Arial" w:hAnsi="Arial" w:cs="Arial"/>
                <w:sz w:val="24"/>
                <w:szCs w:val="24"/>
              </w:rPr>
              <w:t xml:space="preserve">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0CF65002" w14:textId="77777777" w:rsidR="007A1CCA" w:rsidRDefault="006D3ED9" w:rsidP="55ED49EF">
            <w:pPr>
              <w:spacing w:after="0" w:line="240" w:lineRule="auto"/>
              <w:rPr>
                <w:rFonts w:ascii="Arial" w:eastAsia="Arial" w:hAnsi="Arial" w:cs="Arial"/>
              </w:rPr>
            </w:pPr>
            <w:r w:rsidRPr="006D3ED9">
              <w:rPr>
                <w:rFonts w:ascii="Arial" w:eastAsia="Arial" w:hAnsi="Arial" w:cs="Arial"/>
              </w:rPr>
              <w:t xml:space="preserve">To provide a strength based, outcome focussed assessment service to all adults across community and hospital settings. </w:t>
            </w:r>
          </w:p>
          <w:p w14:paraId="3DED65CD" w14:textId="2DB7843B" w:rsidR="006D3ED9" w:rsidRPr="00784003" w:rsidRDefault="006D3ED9"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331253F5"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Service Delivery and Outcomes:</w:t>
            </w:r>
          </w:p>
          <w:p w14:paraId="612BBA04"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Percentage of service users achieving independence and recovery goals.</w:t>
            </w:r>
          </w:p>
          <w:p w14:paraId="658C0763"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Feedback from service users, carers, and partner agencies on service quality and collaboration.</w:t>
            </w:r>
          </w:p>
          <w:p w14:paraId="48045C4C"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Professional Development and Team Contribution:</w:t>
            </w:r>
          </w:p>
          <w:p w14:paraId="6A55A8B2"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Completion rate of mandatory training and continuous professional development activities.</w:t>
            </w:r>
          </w:p>
          <w:p w14:paraId="6A933266" w14:textId="003E9E81" w:rsidR="00652AAC" w:rsidRPr="00637EDF" w:rsidRDefault="00637EDF" w:rsidP="00637EDF">
            <w:pPr>
              <w:numPr>
                <w:ilvl w:val="1"/>
                <w:numId w:val="39"/>
              </w:numPr>
              <w:shd w:val="clear" w:color="auto" w:fill="FAFAFA"/>
              <w:spacing w:before="100" w:beforeAutospacing="1" w:after="100" w:afterAutospacing="1" w:line="240" w:lineRule="auto"/>
              <w:rPr>
                <w:rFonts w:ascii="Segoe UI" w:hAnsi="Segoe UI" w:cs="Segoe UI"/>
                <w:color w:val="424242"/>
                <w:sz w:val="24"/>
                <w:szCs w:val="24"/>
              </w:rPr>
            </w:pPr>
            <w:r w:rsidRPr="00637EDF">
              <w:rPr>
                <w:rFonts w:ascii="Arial" w:hAnsi="Arial" w:cs="Arial"/>
                <w:color w:val="424242"/>
              </w:rPr>
              <w:t>Contributions to team initiatives and feedback from team members on collaboration and support.</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70A8CD20" w14:textId="393A2BFB" w:rsidR="00D45DFC" w:rsidRPr="00D45DFC" w:rsidRDefault="00D45DFC" w:rsidP="00D45DFC">
            <w:pPr>
              <w:spacing w:before="240" w:after="240"/>
              <w:rPr>
                <w:rFonts w:ascii="Arial" w:eastAsia="Arial" w:hAnsi="Arial" w:cs="Arial"/>
                <w:color w:val="424242"/>
              </w:rPr>
            </w:pPr>
            <w:r w:rsidRPr="00D45DFC">
              <w:rPr>
                <w:rFonts w:ascii="Arial" w:eastAsia="Arial" w:hAnsi="Arial" w:cs="Arial"/>
                <w:color w:val="424242"/>
              </w:rPr>
              <w:t>The post holder will be required to:</w:t>
            </w:r>
          </w:p>
          <w:p w14:paraId="16D249A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Provide a professional social work service, demonstrating a thorough knowledge and application of statutory social care responsibilities and duties as outlined in national legislation and guidance, and in accordance with organisational policies and procedures.</w:t>
            </w:r>
          </w:p>
          <w:p w14:paraId="1C5F427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service delivery that is strengths-based and outcome-focused, with an emphasis on promoting independence, enabling recovery, and safeguarding adults.</w:t>
            </w:r>
          </w:p>
          <w:p w14:paraId="0D867434"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Work collaboratively with other professionals and agencies to address complex needs and achieve the most ideal outcomes for individuals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 supporting their choice and independence.</w:t>
            </w:r>
          </w:p>
          <w:p w14:paraId="7A24AA9B"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the provision of high-quality assessments and support plans for individuals, in consultation with the person and their carer.</w:t>
            </w:r>
          </w:p>
          <w:p w14:paraId="6BB1F39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Complete written reports and be prepared to effectively present information in a range of formats as required.</w:t>
            </w:r>
          </w:p>
          <w:p w14:paraId="24DAEEA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lastRenderedPageBreak/>
              <w:t>Work collaboratively with health colleagues to ensure safe and timely discharges from hospital to the most appropriate service and setting for the individual, actively supporting their choice and independence.</w:t>
            </w:r>
          </w:p>
          <w:p w14:paraId="7E024D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Promote the creative and flexible use of personal budgets to appropriately meet the needs of those we support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w:t>
            </w:r>
          </w:p>
          <w:p w14:paraId="397019E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Communicate effectively with people, carers, other agencies, and professionals to support the delivery of a coordinated response to needs.</w:t>
            </w:r>
          </w:p>
          <w:p w14:paraId="1C9E77C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Manage and effectively prioritise a caseload.</w:t>
            </w:r>
          </w:p>
          <w:p w14:paraId="0665E45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Keep accurate records in relation to the contact and work undertaken, using electronic record systems (Liquid Logic) and other relevant ICT systems.</w:t>
            </w:r>
          </w:p>
          <w:p w14:paraId="0DF679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effective team working and service development, and work with management to identify improvements that could enhance the efficiency and effectiveness of the Directorate.</w:t>
            </w:r>
          </w:p>
          <w:p w14:paraId="43ABD29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Support and mentor newly qualified and/or less experienced staff and students.</w:t>
            </w:r>
          </w:p>
          <w:p w14:paraId="31BBB7C3"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continuous professional development, including the completion of all mandatory e-learning and formal training as set out within the Adult Social Care Training Plan.</w:t>
            </w:r>
          </w:p>
          <w:p w14:paraId="09858ECE"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Maintain your own emotional resilience and professional wellbeing while developing practice competence and confidence.</w:t>
            </w:r>
          </w:p>
          <w:p w14:paraId="63C43BF1"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Participate in a duty system, which involves the need to work flexibly and respond to urgent situations where necessary.</w:t>
            </w:r>
          </w:p>
          <w:p w14:paraId="7A3C74D9"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additional duties as deemed appropriate by the team manager.</w:t>
            </w:r>
          </w:p>
          <w:p w14:paraId="7C5BA309" w14:textId="77777777" w:rsidR="00D45DFC" w:rsidRPr="00D45DFC" w:rsidRDefault="00D45DFC" w:rsidP="00D45DFC">
            <w:pPr>
              <w:spacing w:before="240" w:after="240"/>
              <w:ind w:left="360"/>
              <w:rPr>
                <w:rFonts w:ascii="Arial" w:eastAsia="Arial" w:hAnsi="Arial" w:cs="Arial"/>
                <w:color w:val="424242"/>
              </w:rPr>
            </w:pPr>
            <w:r w:rsidRPr="00D45DFC">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lastRenderedPageBreak/>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 xml:space="preserve">SW, CSS, </w:t>
            </w:r>
            <w:proofErr w:type="spellStart"/>
            <w:r w:rsidRPr="00F577FC">
              <w:rPr>
                <w:rFonts w:ascii="Arial" w:eastAsia="Arial" w:hAnsi="Arial" w:cs="Arial"/>
              </w:rPr>
              <w:t>DipSW</w:t>
            </w:r>
            <w:proofErr w:type="spellEnd"/>
            <w:r w:rsidRPr="00F577FC">
              <w:rPr>
                <w:rFonts w:ascii="Arial" w:eastAsia="Arial" w:hAnsi="Arial" w:cs="Arial"/>
              </w:rPr>
              <w:t xml:space="preserve">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1B9377B3" w14:textId="77777777" w:rsidR="001B3216" w:rsidRDefault="00552EFD" w:rsidP="00552EFD">
            <w:pPr>
              <w:pStyle w:val="ListParagraph"/>
              <w:numPr>
                <w:ilvl w:val="0"/>
                <w:numId w:val="43"/>
              </w:numPr>
              <w:spacing w:after="0" w:line="240" w:lineRule="auto"/>
              <w:rPr>
                <w:rFonts w:ascii="Arial" w:eastAsia="Arial" w:hAnsi="Arial" w:cs="Arial"/>
              </w:rPr>
            </w:pPr>
            <w:r w:rsidRPr="00552EFD">
              <w:rPr>
                <w:rFonts w:ascii="Arial" w:eastAsia="Arial" w:hAnsi="Arial" w:cs="Arial"/>
              </w:rPr>
              <w:t>Accepting referrals.</w:t>
            </w:r>
          </w:p>
          <w:p w14:paraId="6BDCBAF2" w14:textId="77777777" w:rsidR="00552EF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Gathering information</w:t>
            </w:r>
          </w:p>
          <w:p w14:paraId="24FB19C9"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Assessing the needs of individuals and their families.</w:t>
            </w:r>
          </w:p>
          <w:p w14:paraId="706BB48D"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Work in a Social Services Directorate or other Statutory or Voluntary Agency.</w:t>
            </w:r>
          </w:p>
          <w:p w14:paraId="57C2F4F6" w14:textId="77777777" w:rsidR="005C798D"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Managing a caseload</w:t>
            </w:r>
          </w:p>
          <w:p w14:paraId="3E43F230"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Determining priorities.</w:t>
            </w:r>
          </w:p>
          <w:p w14:paraId="314B1FED"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Working as a member of a team.</w:t>
            </w:r>
          </w:p>
          <w:p w14:paraId="1A773A38" w14:textId="27785881" w:rsidR="002F4BD9" w:rsidRPr="001B3216" w:rsidRDefault="002F4BD9" w:rsidP="002F4BD9">
            <w:pPr>
              <w:pStyle w:val="ListParagraph"/>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2F4BD9"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Pr="002F4BD9" w:rsidRDefault="0087424C" w:rsidP="005A5A56">
            <w:pPr>
              <w:spacing w:after="0" w:line="240" w:lineRule="auto"/>
              <w:rPr>
                <w:rFonts w:ascii="Arial" w:hAnsi="Arial" w:cs="Arial"/>
                <w:b/>
                <w:sz w:val="24"/>
                <w:szCs w:val="24"/>
              </w:rPr>
            </w:pPr>
          </w:p>
          <w:p w14:paraId="6817B5D5" w14:textId="77777777" w:rsidR="002F4BD9" w:rsidRPr="00630602" w:rsidRDefault="002F4BD9" w:rsidP="002F4BD9">
            <w:pPr>
              <w:pStyle w:val="ListParagraph"/>
              <w:numPr>
                <w:ilvl w:val="0"/>
                <w:numId w:val="44"/>
              </w:numPr>
              <w:spacing w:after="0" w:line="240" w:lineRule="auto"/>
              <w:rPr>
                <w:rFonts w:ascii="Arial" w:hAnsi="Arial" w:cs="Arial"/>
                <w:bCs/>
              </w:rPr>
            </w:pPr>
            <w:r w:rsidRPr="00630602">
              <w:rPr>
                <w:rFonts w:ascii="Arial" w:hAnsi="Arial" w:cs="Arial"/>
                <w:bCs/>
              </w:rPr>
              <w:t>Knowledge of legislation relating to general social work practice</w:t>
            </w:r>
          </w:p>
          <w:p w14:paraId="10BC55B4" w14:textId="77777777" w:rsidR="002F4BD9"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assessing and analysing need and risk and planning care with individuals</w:t>
            </w:r>
          </w:p>
          <w:p w14:paraId="624B2F7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working effectively with other agencies and professionals.</w:t>
            </w:r>
          </w:p>
          <w:p w14:paraId="08BA068B"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Working understanding of relevant legislation and its application and ability to work within legal framework and accountability</w:t>
            </w:r>
          </w:p>
          <w:p w14:paraId="47363917"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IT literate, experience in using manual and computer systems for record keeping.</w:t>
            </w:r>
          </w:p>
          <w:p w14:paraId="21AED25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Negotiating and networking with a range of professionals.</w:t>
            </w:r>
          </w:p>
          <w:p w14:paraId="569045A7" w14:textId="77777777" w:rsidR="009F5583"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Numerate and able to contribute to the management of budgets and resources.</w:t>
            </w:r>
          </w:p>
          <w:p w14:paraId="343E44B2"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Organisational skills, able to prioritise and manage a case load and work independently under pressure</w:t>
            </w:r>
          </w:p>
          <w:p w14:paraId="1762D6B1"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A demonstrable understanding and acceptance of the principles underlying equal opportunities and diversity and a commitment to achieving these.</w:t>
            </w:r>
          </w:p>
          <w:p w14:paraId="1AE4448A"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Effective written and oral communication skills appropriate to the situation</w:t>
            </w:r>
          </w:p>
          <w:p w14:paraId="4EF85293"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 commitment to improving practice standards and personal competencies through continuous professional development and use of supervision and appraisal to improve personal performance.</w:t>
            </w:r>
          </w:p>
          <w:p w14:paraId="3E02DCEB"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To have the ability to value diversity and work across cultures.</w:t>
            </w:r>
          </w:p>
          <w:p w14:paraId="04C95F72"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Ability to influence others based on technical or professional expertise.</w:t>
            </w:r>
          </w:p>
          <w:p w14:paraId="55801B85" w14:textId="7182B567" w:rsidR="00F979DE" w:rsidRPr="002F4BD9" w:rsidRDefault="00630602" w:rsidP="002F4BD9">
            <w:pPr>
              <w:pStyle w:val="ListParagraph"/>
              <w:numPr>
                <w:ilvl w:val="0"/>
                <w:numId w:val="44"/>
              </w:numPr>
              <w:spacing w:after="0" w:line="240" w:lineRule="auto"/>
              <w:rPr>
                <w:rFonts w:ascii="Arial" w:hAnsi="Arial" w:cs="Arial"/>
                <w:b/>
                <w:sz w:val="24"/>
                <w:szCs w:val="24"/>
              </w:rPr>
            </w:pPr>
            <w:r w:rsidRPr="00630602">
              <w:rPr>
                <w:rFonts w:ascii="Arial" w:hAnsi="Arial" w:cs="Arial"/>
                <w:bCs/>
              </w:rPr>
              <w:t>Ability to informally train and mentor less experienced staff.</w:t>
            </w:r>
          </w:p>
        </w:tc>
      </w:tr>
      <w:tr w:rsidR="0087424C" w:rsidRPr="002F4BD9"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2F4BD9" w:rsidRDefault="0087424C" w:rsidP="00093214">
            <w:pPr>
              <w:spacing w:before="120" w:after="120"/>
              <w:rPr>
                <w:rFonts w:ascii="Arial" w:hAnsi="Arial" w:cs="Arial"/>
                <w:b/>
                <w:sz w:val="24"/>
                <w:szCs w:val="24"/>
              </w:rPr>
            </w:pPr>
            <w:r w:rsidRPr="002F4BD9">
              <w:rPr>
                <w:rFonts w:ascii="Arial" w:hAnsi="Arial" w:cs="Arial"/>
                <w:b/>
                <w:sz w:val="24"/>
                <w:szCs w:val="24"/>
              </w:rPr>
              <w:t>Other essential requirements</w:t>
            </w:r>
          </w:p>
        </w:tc>
      </w:tr>
      <w:tr w:rsidR="0087424C" w:rsidRPr="002F4BD9" w14:paraId="505890EE" w14:textId="77777777" w:rsidTr="55ED49EF">
        <w:tc>
          <w:tcPr>
            <w:tcW w:w="10495" w:type="dxa"/>
            <w:tcBorders>
              <w:top w:val="single" w:sz="4" w:space="0" w:color="auto"/>
              <w:bottom w:val="nil"/>
            </w:tcBorders>
          </w:tcPr>
          <w:p w14:paraId="27DC7A9D" w14:textId="7B0F3E70"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Commi</w:t>
            </w:r>
            <w:r w:rsidR="00256580" w:rsidRPr="002F4BD9">
              <w:rPr>
                <w:rFonts w:ascii="Arial" w:hAnsi="Arial" w:cs="Arial"/>
              </w:rPr>
              <w:t>tment to equality and diversity</w:t>
            </w:r>
            <w:r w:rsidR="005F0153" w:rsidRPr="002F4BD9">
              <w:rPr>
                <w:rFonts w:ascii="Arial" w:hAnsi="Arial" w:cs="Arial"/>
              </w:rPr>
              <w:t>.</w:t>
            </w:r>
          </w:p>
        </w:tc>
      </w:tr>
      <w:tr w:rsidR="0087424C" w:rsidRPr="002F4BD9" w14:paraId="1A0EFE48" w14:textId="77777777" w:rsidTr="55ED49EF">
        <w:tc>
          <w:tcPr>
            <w:tcW w:w="10495" w:type="dxa"/>
            <w:tcBorders>
              <w:top w:val="nil"/>
              <w:bottom w:val="nil"/>
            </w:tcBorders>
          </w:tcPr>
          <w:p w14:paraId="70BCE7A1" w14:textId="12DB5B7B" w:rsidR="0087424C" w:rsidRPr="002F4BD9" w:rsidRDefault="00256580" w:rsidP="00093214">
            <w:pPr>
              <w:pStyle w:val="ListParagraph"/>
              <w:numPr>
                <w:ilvl w:val="0"/>
                <w:numId w:val="23"/>
              </w:numPr>
              <w:spacing w:before="120" w:after="120" w:line="240" w:lineRule="auto"/>
              <w:rPr>
                <w:rFonts w:ascii="Arial" w:hAnsi="Arial" w:cs="Arial"/>
              </w:rPr>
            </w:pPr>
            <w:r w:rsidRPr="002F4BD9">
              <w:rPr>
                <w:rFonts w:ascii="Arial" w:hAnsi="Arial" w:cs="Arial"/>
              </w:rPr>
              <w:lastRenderedPageBreak/>
              <w:t>Commitment to health and safety</w:t>
            </w:r>
            <w:r w:rsidR="005F0153" w:rsidRPr="002F4BD9">
              <w:rPr>
                <w:rFonts w:ascii="Arial" w:hAnsi="Arial" w:cs="Arial"/>
              </w:rPr>
              <w:t>.</w:t>
            </w:r>
          </w:p>
        </w:tc>
      </w:tr>
      <w:tr w:rsidR="0087424C" w:rsidRPr="002F4BD9" w14:paraId="7A195D6A" w14:textId="77777777" w:rsidTr="55ED49EF">
        <w:tc>
          <w:tcPr>
            <w:tcW w:w="10495" w:type="dxa"/>
            <w:tcBorders>
              <w:top w:val="nil"/>
              <w:bottom w:val="nil"/>
            </w:tcBorders>
          </w:tcPr>
          <w:p w14:paraId="4C3DCE1F" w14:textId="04513CDA" w:rsidR="0087424C" w:rsidRPr="002F4BD9" w:rsidRDefault="0087424C" w:rsidP="00093214">
            <w:pPr>
              <w:pStyle w:val="ListParagraph"/>
              <w:numPr>
                <w:ilvl w:val="0"/>
                <w:numId w:val="23"/>
              </w:numPr>
              <w:spacing w:before="120" w:after="120" w:line="240" w:lineRule="auto"/>
              <w:rPr>
                <w:rFonts w:ascii="Arial" w:hAnsi="Arial" w:cs="Arial"/>
              </w:rPr>
            </w:pPr>
            <w:proofErr w:type="gramStart"/>
            <w:r w:rsidRPr="002F4BD9">
              <w:rPr>
                <w:rFonts w:ascii="Arial" w:hAnsi="Arial" w:cs="Arial"/>
              </w:rPr>
              <w:t>Display the LCC values and behaviours at all times</w:t>
            </w:r>
            <w:proofErr w:type="gramEnd"/>
            <w:r w:rsidRPr="002F4BD9">
              <w:rPr>
                <w:rFonts w:ascii="Arial" w:hAnsi="Arial" w:cs="Arial"/>
              </w:rPr>
              <w:t xml:space="preserve"> and </w:t>
            </w:r>
            <w:r w:rsidR="00256580" w:rsidRPr="002F4BD9">
              <w:rPr>
                <w:rFonts w:ascii="Arial" w:hAnsi="Arial" w:cs="Arial"/>
              </w:rPr>
              <w:t>actively promote them in others</w:t>
            </w:r>
            <w:r w:rsidR="005F0153" w:rsidRPr="002F4BD9">
              <w:rPr>
                <w:rFonts w:ascii="Arial" w:hAnsi="Arial" w:cs="Arial"/>
              </w:rPr>
              <w:t>.</w:t>
            </w:r>
          </w:p>
        </w:tc>
      </w:tr>
      <w:tr w:rsidR="0087424C" w:rsidRPr="002F4BD9" w14:paraId="4DAFDB7C" w14:textId="77777777" w:rsidTr="55ED49EF">
        <w:tc>
          <w:tcPr>
            <w:tcW w:w="10495" w:type="dxa"/>
            <w:tcBorders>
              <w:top w:val="nil"/>
            </w:tcBorders>
          </w:tcPr>
          <w:p w14:paraId="3A21A9C3" w14:textId="460A404A"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Thi</w:t>
            </w:r>
            <w:r w:rsidR="00933597" w:rsidRPr="002F4BD9">
              <w:rPr>
                <w:rFonts w:ascii="Arial" w:hAnsi="Arial" w:cs="Arial"/>
              </w:rPr>
              <w:t>s is an essential car user post</w:t>
            </w:r>
            <w:r w:rsidR="00FB0192" w:rsidRPr="002F4BD9">
              <w:rPr>
                <w:rFonts w:ascii="Arial" w:hAnsi="Arial" w:cs="Arial"/>
              </w:rPr>
              <w:t>*</w:t>
            </w:r>
          </w:p>
          <w:p w14:paraId="387A7A3A" w14:textId="3E4313E0" w:rsidR="0087424C" w:rsidRPr="002F4BD9" w:rsidRDefault="003C57AB" w:rsidP="00093214">
            <w:pPr>
              <w:pStyle w:val="ListParagraph"/>
              <w:spacing w:before="120" w:after="120"/>
              <w:ind w:left="360"/>
              <w:rPr>
                <w:rFonts w:ascii="Arial" w:hAnsi="Arial" w:cs="Arial"/>
                <w:i/>
              </w:rPr>
            </w:pPr>
            <w:r w:rsidRPr="002F4BD9">
              <w:rPr>
                <w:rFonts w:ascii="Arial" w:hAnsi="Arial" w:cs="Arial"/>
                <w:i/>
                <w:lang w:val="en"/>
              </w:rPr>
              <w:t>You will be required to provide a car for use in connection with the duties of this post and must be insured for business use</w:t>
            </w:r>
            <w:r w:rsidRPr="002F4BD9">
              <w:rPr>
                <w:rFonts w:ascii="Arial" w:hAnsi="Arial" w:cs="Arial"/>
                <w:lang w:val="en"/>
              </w:rPr>
              <w:t xml:space="preserve">. </w:t>
            </w:r>
            <w:r w:rsidR="0087424C" w:rsidRPr="002F4BD9">
              <w:rPr>
                <w:rFonts w:ascii="Arial" w:hAnsi="Arial" w:cs="Arial"/>
                <w:i/>
              </w:rPr>
              <w:t xml:space="preserve">In certain circumstances consideration may be given to applicants who, </w:t>
            </w:r>
            <w:proofErr w:type="gramStart"/>
            <w:r w:rsidR="0087424C" w:rsidRPr="002F4BD9">
              <w:rPr>
                <w:rFonts w:ascii="Arial" w:hAnsi="Arial" w:cs="Arial"/>
                <w:i/>
              </w:rPr>
              <w:t>as a consequence of</w:t>
            </w:r>
            <w:proofErr w:type="gramEnd"/>
            <w:r w:rsidR="0087424C" w:rsidRPr="002F4BD9">
              <w:rPr>
                <w:rFonts w:ascii="Arial" w:hAnsi="Arial" w:cs="Arial"/>
                <w:i/>
              </w:rPr>
              <w:t xml:space="preserve"> a disability,</w:t>
            </w:r>
            <w:r w:rsidR="00933597" w:rsidRPr="002F4BD9">
              <w:rPr>
                <w:rFonts w:ascii="Arial" w:hAnsi="Arial" w:cs="Arial"/>
                <w:i/>
              </w:rPr>
              <w:t xml:space="preserve"> are unable to drive</w:t>
            </w:r>
          </w:p>
        </w:tc>
      </w:tr>
    </w:tbl>
    <w:p w14:paraId="6E840AC5" w14:textId="77777777" w:rsidR="0087424C" w:rsidRPr="002F4BD9" w:rsidRDefault="0087424C" w:rsidP="0087424C">
      <w:pPr>
        <w:rPr>
          <w:rFonts w:ascii="Arial" w:hAnsi="Arial" w:cs="Arial"/>
          <w:sz w:val="24"/>
          <w:szCs w:val="24"/>
        </w:rPr>
      </w:pPr>
    </w:p>
    <w:sectPr w:rsidR="0087424C" w:rsidRPr="002F4BD9"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FD57" w14:textId="77777777" w:rsidR="008F3090" w:rsidRDefault="008F3090" w:rsidP="009373D4">
      <w:pPr>
        <w:spacing w:after="0" w:line="240" w:lineRule="auto"/>
      </w:pPr>
      <w:r>
        <w:separator/>
      </w:r>
    </w:p>
  </w:endnote>
  <w:endnote w:type="continuationSeparator" w:id="0">
    <w:p w14:paraId="0E7E34CF" w14:textId="77777777" w:rsidR="008F3090" w:rsidRDefault="008F309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AF2A8" w14:textId="77777777" w:rsidR="008F3090" w:rsidRDefault="008F3090" w:rsidP="009373D4">
      <w:pPr>
        <w:spacing w:after="0" w:line="240" w:lineRule="auto"/>
      </w:pPr>
      <w:r>
        <w:separator/>
      </w:r>
    </w:p>
  </w:footnote>
  <w:footnote w:type="continuationSeparator" w:id="0">
    <w:p w14:paraId="6B0BDD9F" w14:textId="77777777" w:rsidR="008F3090" w:rsidRDefault="008F309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162DD9A9" w14:textId="77777777" w:rsidR="00D530B5" w:rsidRDefault="00D530B5" w:rsidP="001B3216">
          <w:pPr>
            <w:pStyle w:val="Header"/>
            <w:spacing w:before="120" w:after="120"/>
            <w:jc w:val="center"/>
            <w:rPr>
              <w:rFonts w:ascii="Arial" w:hAnsi="Arial" w:cs="Arial"/>
              <w:b/>
              <w:bCs/>
              <w:color w:val="A50021"/>
              <w:sz w:val="28"/>
              <w:szCs w:val="28"/>
            </w:rPr>
          </w:pPr>
        </w:p>
        <w:p w14:paraId="0B384DD8" w14:textId="79769168" w:rsidR="001B3216" w:rsidRPr="00904FB9" w:rsidRDefault="00D530B5" w:rsidP="00D530B5">
          <w:pPr>
            <w:pStyle w:val="Header"/>
            <w:spacing w:before="120" w:after="120"/>
            <w:rPr>
              <w:rFonts w:ascii="Arial" w:hAnsi="Arial" w:cs="Arial"/>
              <w:b/>
              <w:bCs/>
              <w:color w:val="A50021"/>
              <w:sz w:val="28"/>
              <w:szCs w:val="28"/>
            </w:rPr>
          </w:pPr>
          <w:r>
            <w:rPr>
              <w:rFonts w:ascii="Arial" w:hAnsi="Arial" w:cs="Arial"/>
              <w:b/>
              <w:bCs/>
              <w:color w:val="A50021"/>
              <w:sz w:val="28"/>
              <w:szCs w:val="28"/>
            </w:rPr>
            <w:t xml:space="preserve">                              </w:t>
          </w:r>
          <w:r w:rsidR="00722ACF">
            <w:rPr>
              <w:rFonts w:ascii="Arial" w:hAnsi="Arial" w:cs="Arial"/>
              <w:b/>
              <w:bCs/>
              <w:color w:val="A50021"/>
              <w:sz w:val="28"/>
              <w:szCs w:val="28"/>
            </w:rPr>
            <w:t>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D8FE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6707332" o:spid="_x0000_i1025" type="#_x0000_t75" style="width:309pt;height:316pt;visibility:visible;mso-wrap-style:square">
            <v:imagedata r:id="rId1" o:title=""/>
          </v:shape>
        </w:pict>
      </mc:Choice>
      <mc:Fallback>
        <w:drawing>
          <wp:inline distT="0" distB="0" distL="0" distR="0" wp14:anchorId="530296C0" wp14:editId="530296C1">
            <wp:extent cx="3924300" cy="4013200"/>
            <wp:effectExtent l="0" t="0" r="0" b="0"/>
            <wp:docPr id="1786707332" name="Picture 178670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401320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32270"/>
    <w:multiLevelType w:val="multilevel"/>
    <w:tmpl w:val="94C86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98428A"/>
    <w:multiLevelType w:val="multilevel"/>
    <w:tmpl w:val="ED4A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3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5"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abstractNum w:abstractNumId="46" w15:restartNumberingAfterBreak="0">
    <w:nsid w:val="7CB74731"/>
    <w:multiLevelType w:val="hybridMultilevel"/>
    <w:tmpl w:val="123E2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685830">
    <w:abstractNumId w:val="2"/>
  </w:num>
  <w:num w:numId="2" w16cid:durableId="887645715">
    <w:abstractNumId w:val="38"/>
  </w:num>
  <w:num w:numId="3" w16cid:durableId="1743025720">
    <w:abstractNumId w:val="29"/>
  </w:num>
  <w:num w:numId="4" w16cid:durableId="864169566">
    <w:abstractNumId w:val="45"/>
  </w:num>
  <w:num w:numId="5" w16cid:durableId="4385248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4"/>
  </w:num>
  <w:num w:numId="7" w16cid:durableId="439031600">
    <w:abstractNumId w:val="23"/>
  </w:num>
  <w:num w:numId="8" w16cid:durableId="1363550396">
    <w:abstractNumId w:val="27"/>
  </w:num>
  <w:num w:numId="9" w16cid:durableId="1447702445">
    <w:abstractNumId w:val="12"/>
  </w:num>
  <w:num w:numId="10" w16cid:durableId="1491292271">
    <w:abstractNumId w:val="30"/>
  </w:num>
  <w:num w:numId="11" w16cid:durableId="1089616268">
    <w:abstractNumId w:val="14"/>
  </w:num>
  <w:num w:numId="12" w16cid:durableId="585697795">
    <w:abstractNumId w:val="44"/>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8"/>
  </w:num>
  <w:num w:numId="20" w16cid:durableId="2094737737">
    <w:abstractNumId w:val="39"/>
  </w:num>
  <w:num w:numId="21" w16cid:durableId="1721592948">
    <w:abstractNumId w:val="4"/>
  </w:num>
  <w:num w:numId="22" w16cid:durableId="994576094">
    <w:abstractNumId w:val="26"/>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7"/>
  </w:num>
  <w:num w:numId="29" w16cid:durableId="2101634239">
    <w:abstractNumId w:val="17"/>
  </w:num>
  <w:num w:numId="30" w16cid:durableId="1079402475">
    <w:abstractNumId w:val="3"/>
  </w:num>
  <w:num w:numId="31" w16cid:durableId="1110510433">
    <w:abstractNumId w:val="40"/>
  </w:num>
  <w:num w:numId="32" w16cid:durableId="149449392">
    <w:abstractNumId w:val="16"/>
  </w:num>
  <w:num w:numId="33" w16cid:durableId="191921037">
    <w:abstractNumId w:val="11"/>
  </w:num>
  <w:num w:numId="34" w16cid:durableId="414323861">
    <w:abstractNumId w:val="42"/>
  </w:num>
  <w:num w:numId="35" w16cid:durableId="1670523958">
    <w:abstractNumId w:val="43"/>
  </w:num>
  <w:num w:numId="36" w16cid:durableId="451871796">
    <w:abstractNumId w:val="32"/>
  </w:num>
  <w:num w:numId="37" w16cid:durableId="1462067653">
    <w:abstractNumId w:val="1"/>
  </w:num>
  <w:num w:numId="38" w16cid:durableId="265230552">
    <w:abstractNumId w:val="33"/>
  </w:num>
  <w:num w:numId="39" w16cid:durableId="1264416221">
    <w:abstractNumId w:val="35"/>
  </w:num>
  <w:num w:numId="40" w16cid:durableId="1710838656">
    <w:abstractNumId w:val="20"/>
  </w:num>
  <w:num w:numId="41" w16cid:durableId="2059238273">
    <w:abstractNumId w:val="36"/>
  </w:num>
  <w:num w:numId="42" w16cid:durableId="1204975665">
    <w:abstractNumId w:val="31"/>
  </w:num>
  <w:num w:numId="43" w16cid:durableId="346904150">
    <w:abstractNumId w:val="41"/>
  </w:num>
  <w:num w:numId="44" w16cid:durableId="1993100700">
    <w:abstractNumId w:val="18"/>
  </w:num>
  <w:num w:numId="45" w16cid:durableId="722800322">
    <w:abstractNumId w:val="22"/>
  </w:num>
  <w:num w:numId="46" w16cid:durableId="928848019">
    <w:abstractNumId w:val="46"/>
  </w:num>
  <w:num w:numId="47" w16cid:durableId="10806348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421EE"/>
    <w:rsid w:val="0016227C"/>
    <w:rsid w:val="00167572"/>
    <w:rsid w:val="00173FCC"/>
    <w:rsid w:val="00184609"/>
    <w:rsid w:val="001A5E99"/>
    <w:rsid w:val="001A7954"/>
    <w:rsid w:val="001B3216"/>
    <w:rsid w:val="001E1319"/>
    <w:rsid w:val="001F5F6B"/>
    <w:rsid w:val="002210B5"/>
    <w:rsid w:val="002318EF"/>
    <w:rsid w:val="00232B12"/>
    <w:rsid w:val="00256580"/>
    <w:rsid w:val="0029673B"/>
    <w:rsid w:val="002A2398"/>
    <w:rsid w:val="002D03B5"/>
    <w:rsid w:val="002D61C2"/>
    <w:rsid w:val="002E7FA3"/>
    <w:rsid w:val="002F4BD9"/>
    <w:rsid w:val="002F5AD2"/>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54521"/>
    <w:rsid w:val="00460A29"/>
    <w:rsid w:val="004658CF"/>
    <w:rsid w:val="004719A7"/>
    <w:rsid w:val="00483CBF"/>
    <w:rsid w:val="0049033C"/>
    <w:rsid w:val="004B158B"/>
    <w:rsid w:val="004B7DF4"/>
    <w:rsid w:val="004D2A10"/>
    <w:rsid w:val="004E0A78"/>
    <w:rsid w:val="004E7E0E"/>
    <w:rsid w:val="004F0FA5"/>
    <w:rsid w:val="004F1515"/>
    <w:rsid w:val="0050043B"/>
    <w:rsid w:val="00501B78"/>
    <w:rsid w:val="00522E01"/>
    <w:rsid w:val="00533ABC"/>
    <w:rsid w:val="00534BB6"/>
    <w:rsid w:val="00536E13"/>
    <w:rsid w:val="00552EFD"/>
    <w:rsid w:val="0055380F"/>
    <w:rsid w:val="00591802"/>
    <w:rsid w:val="005971BA"/>
    <w:rsid w:val="005A0127"/>
    <w:rsid w:val="005A5904"/>
    <w:rsid w:val="005A5A56"/>
    <w:rsid w:val="005B45FC"/>
    <w:rsid w:val="005C5B48"/>
    <w:rsid w:val="005C798D"/>
    <w:rsid w:val="005E4780"/>
    <w:rsid w:val="005F0153"/>
    <w:rsid w:val="005F4737"/>
    <w:rsid w:val="006026D2"/>
    <w:rsid w:val="00625C17"/>
    <w:rsid w:val="00627BBB"/>
    <w:rsid w:val="00627F64"/>
    <w:rsid w:val="00630602"/>
    <w:rsid w:val="00637EDF"/>
    <w:rsid w:val="00645191"/>
    <w:rsid w:val="00652AAC"/>
    <w:rsid w:val="00686894"/>
    <w:rsid w:val="006A5EA8"/>
    <w:rsid w:val="006B25CE"/>
    <w:rsid w:val="006B5443"/>
    <w:rsid w:val="006CB13B"/>
    <w:rsid w:val="006D331F"/>
    <w:rsid w:val="006D3ED9"/>
    <w:rsid w:val="006D46EA"/>
    <w:rsid w:val="006E31CC"/>
    <w:rsid w:val="006F10A8"/>
    <w:rsid w:val="0070453D"/>
    <w:rsid w:val="007046BD"/>
    <w:rsid w:val="00707946"/>
    <w:rsid w:val="00707A73"/>
    <w:rsid w:val="0072181F"/>
    <w:rsid w:val="00722ACF"/>
    <w:rsid w:val="00725524"/>
    <w:rsid w:val="00725DAB"/>
    <w:rsid w:val="007420E7"/>
    <w:rsid w:val="00746CF0"/>
    <w:rsid w:val="00760028"/>
    <w:rsid w:val="00762935"/>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38C2"/>
    <w:rsid w:val="008C17FA"/>
    <w:rsid w:val="008E50FB"/>
    <w:rsid w:val="008E6F52"/>
    <w:rsid w:val="008E779F"/>
    <w:rsid w:val="008F3090"/>
    <w:rsid w:val="00905EF4"/>
    <w:rsid w:val="00913B3E"/>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C49D8"/>
    <w:rsid w:val="009D26C7"/>
    <w:rsid w:val="009D27FD"/>
    <w:rsid w:val="009F5583"/>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37FD"/>
    <w:rsid w:val="00AE46B7"/>
    <w:rsid w:val="00AE6D61"/>
    <w:rsid w:val="00B0791D"/>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352E"/>
    <w:rsid w:val="00C94A81"/>
    <w:rsid w:val="00C97F7F"/>
    <w:rsid w:val="00CB1F6F"/>
    <w:rsid w:val="00CB2D63"/>
    <w:rsid w:val="00CB4F7A"/>
    <w:rsid w:val="00CB5A66"/>
    <w:rsid w:val="00CC1A53"/>
    <w:rsid w:val="00CC31A1"/>
    <w:rsid w:val="00CC6993"/>
    <w:rsid w:val="00CE3198"/>
    <w:rsid w:val="00CE75E9"/>
    <w:rsid w:val="00D03D79"/>
    <w:rsid w:val="00D162D3"/>
    <w:rsid w:val="00D41721"/>
    <w:rsid w:val="00D45DFC"/>
    <w:rsid w:val="00D46FFD"/>
    <w:rsid w:val="00D47FDC"/>
    <w:rsid w:val="00D530B5"/>
    <w:rsid w:val="00D5682A"/>
    <w:rsid w:val="00D64A7D"/>
    <w:rsid w:val="00D76E53"/>
    <w:rsid w:val="00D977B2"/>
    <w:rsid w:val="00DB2B00"/>
    <w:rsid w:val="00DC307E"/>
    <w:rsid w:val="00DC77BF"/>
    <w:rsid w:val="00DD2DA6"/>
    <w:rsid w:val="00E416FC"/>
    <w:rsid w:val="00E555CD"/>
    <w:rsid w:val="00E751B0"/>
    <w:rsid w:val="00E75397"/>
    <w:rsid w:val="00E97F2A"/>
    <w:rsid w:val="00EB74C9"/>
    <w:rsid w:val="00EF4379"/>
    <w:rsid w:val="00F00014"/>
    <w:rsid w:val="00F13963"/>
    <w:rsid w:val="00F13C00"/>
    <w:rsid w:val="00F5215A"/>
    <w:rsid w:val="00F577FC"/>
    <w:rsid w:val="00F7556F"/>
    <w:rsid w:val="00F808CB"/>
    <w:rsid w:val="00F972E8"/>
    <w:rsid w:val="00F979DE"/>
    <w:rsid w:val="00FA1EBA"/>
    <w:rsid w:val="00FA4E3F"/>
    <w:rsid w:val="00FB0192"/>
    <w:rsid w:val="00FB6D25"/>
    <w:rsid w:val="00FB7534"/>
    <w:rsid w:val="00FB7BB1"/>
    <w:rsid w:val="00FD32EB"/>
    <w:rsid w:val="00FE49D6"/>
    <w:rsid w:val="00FF3102"/>
    <w:rsid w:val="036789C6"/>
    <w:rsid w:val="0634E183"/>
    <w:rsid w:val="07135C90"/>
    <w:rsid w:val="089DD1ED"/>
    <w:rsid w:val="0AE6C066"/>
    <w:rsid w:val="10F5BAE4"/>
    <w:rsid w:val="1217ADB1"/>
    <w:rsid w:val="2484D638"/>
    <w:rsid w:val="2520B26F"/>
    <w:rsid w:val="2924AD0A"/>
    <w:rsid w:val="2C1299C2"/>
    <w:rsid w:val="33537297"/>
    <w:rsid w:val="39CCB4E5"/>
    <w:rsid w:val="3A8AEB0C"/>
    <w:rsid w:val="3C02B03F"/>
    <w:rsid w:val="4294A12A"/>
    <w:rsid w:val="4AE813BD"/>
    <w:rsid w:val="4D76BD9D"/>
    <w:rsid w:val="50179EB3"/>
    <w:rsid w:val="51FA2C5C"/>
    <w:rsid w:val="55ED49EF"/>
    <w:rsid w:val="5944771C"/>
    <w:rsid w:val="5954AD54"/>
    <w:rsid w:val="5D9BE1BF"/>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 w:type="paragraph" w:styleId="NormalWeb">
    <w:name w:val="Normal (Web)"/>
    <w:basedOn w:val="Normal"/>
    <w:uiPriority w:val="99"/>
    <w:semiHidden/>
    <w:unhideWhenUsed/>
    <w:rsid w:val="00637ED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3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0878708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85181313">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043149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23490489">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386E4-400A-42DC-8476-321A9F775F1D}">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f9ac9f1c-9640-4678-8e0b-a0bf86f9b25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3.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89C48-07E4-49EE-8E07-8383BBDBCB1C}">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5</Pages>
  <Words>1168</Words>
  <Characters>6662</Characters>
  <Application>Microsoft Office Word</Application>
  <DocSecurity>0</DocSecurity>
  <Lines>55</Lines>
  <Paragraphs>15</Paragraphs>
  <ScaleCrop>false</ScaleCrop>
  <Company>Lancashire County Council</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Miller, Lauren</cp:lastModifiedBy>
  <cp:revision>2</cp:revision>
  <cp:lastPrinted>2025-04-07T13:44:00Z</cp:lastPrinted>
  <dcterms:created xsi:type="dcterms:W3CDTF">2025-04-07T14:15:00Z</dcterms:created>
  <dcterms:modified xsi:type="dcterms:W3CDTF">2025-04-07T14:15:00Z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