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4F54F729" w:rsidR="00883689" w:rsidRPr="003E0AC5" w:rsidRDefault="000314E0" w:rsidP="009A4FE8">
            <w:pPr>
              <w:spacing w:after="0"/>
              <w:rPr>
                <w:rFonts w:ascii="Arial" w:hAnsi="Arial" w:cs="Arial"/>
                <w:sz w:val="24"/>
                <w:szCs w:val="24"/>
              </w:rPr>
            </w:pPr>
            <w:r>
              <w:rPr>
                <w:rFonts w:ascii="Arial" w:hAnsi="Arial" w:cs="Arial"/>
                <w:sz w:val="24"/>
                <w:szCs w:val="24"/>
              </w:rPr>
              <w:t>Growth, Environment, Transport, and Health</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5E7F7C6C" w:rsidR="003E6252" w:rsidRPr="003E0AC5" w:rsidRDefault="000314E0" w:rsidP="009A4FE8">
            <w:pPr>
              <w:spacing w:after="0"/>
              <w:rPr>
                <w:rFonts w:ascii="Arial" w:hAnsi="Arial" w:cs="Arial"/>
                <w:sz w:val="24"/>
                <w:szCs w:val="24"/>
              </w:rPr>
            </w:pPr>
            <w:r>
              <w:rPr>
                <w:rFonts w:ascii="Arial" w:hAnsi="Arial" w:cs="Arial"/>
                <w:sz w:val="24"/>
                <w:szCs w:val="24"/>
              </w:rPr>
              <w:t>Trading Standards</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6FBFAAE1" w:rsidR="00CC31A1" w:rsidRPr="00A447BE" w:rsidRDefault="000314E0" w:rsidP="005E7B78">
            <w:pPr>
              <w:spacing w:after="0"/>
              <w:rPr>
                <w:rFonts w:ascii="Arial" w:hAnsi="Arial" w:cs="Arial"/>
                <w:sz w:val="24"/>
                <w:szCs w:val="24"/>
              </w:rPr>
            </w:pPr>
            <w:r>
              <w:rPr>
                <w:rFonts w:ascii="Arial" w:hAnsi="Arial" w:cs="Arial"/>
                <w:sz w:val="24"/>
                <w:szCs w:val="24"/>
              </w:rPr>
              <w:t>Preston (Hybrid Working)</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48EA1771" w:rsidR="003C57AB" w:rsidRPr="000314E0" w:rsidRDefault="000314E0" w:rsidP="002D61C2">
            <w:pPr>
              <w:spacing w:after="0"/>
              <w:rPr>
                <w:rFonts w:ascii="Arial" w:hAnsi="Arial" w:cs="Arial"/>
                <w:sz w:val="24"/>
                <w:szCs w:val="24"/>
              </w:rPr>
            </w:pPr>
            <w:r w:rsidRPr="000314E0">
              <w:rPr>
                <w:rFonts w:ascii="Arial" w:hAnsi="Arial" w:cs="Arial"/>
                <w:shd w:val="clear" w:color="auto" w:fill="FFFFFF"/>
              </w:rPr>
              <w:t xml:space="preserve">£53,888 </w:t>
            </w:r>
            <w:r w:rsidRPr="000314E0">
              <w:rPr>
                <w:rFonts w:ascii="Arial" w:hAnsi="Arial" w:cs="Arial"/>
                <w:bCs/>
                <w:iCs/>
              </w:rPr>
              <w:t xml:space="preserve">– </w:t>
            </w:r>
            <w:r w:rsidRPr="000314E0">
              <w:rPr>
                <w:rFonts w:ascii="Arial" w:hAnsi="Arial" w:cs="Arial"/>
                <w:shd w:val="clear" w:color="auto" w:fill="FFFFFF"/>
              </w:rPr>
              <w:t>£58,282</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11099CA0" w:rsidR="003C57AB" w:rsidRPr="00BE7A35" w:rsidRDefault="000314E0" w:rsidP="003E0AC5">
            <w:pPr>
              <w:spacing w:after="0"/>
              <w:rPr>
                <w:rFonts w:ascii="Arial" w:hAnsi="Arial" w:cs="Arial"/>
                <w:sz w:val="24"/>
                <w:szCs w:val="24"/>
              </w:rPr>
            </w:pPr>
            <w:r>
              <w:rPr>
                <w:rFonts w:ascii="Arial" w:hAnsi="Arial" w:cs="Arial"/>
                <w:sz w:val="24"/>
                <w:szCs w:val="24"/>
              </w:rPr>
              <w:t>12</w:t>
            </w: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2B64587B" w:rsidR="003C57AB" w:rsidRPr="00A447BE" w:rsidRDefault="000314E0" w:rsidP="003C57AB">
            <w:pPr>
              <w:spacing w:after="0"/>
              <w:rPr>
                <w:rFonts w:ascii="Arial" w:hAnsi="Arial" w:cs="Arial"/>
                <w:sz w:val="24"/>
                <w:szCs w:val="24"/>
              </w:rPr>
            </w:pPr>
            <w:r w:rsidRPr="000314E0">
              <w:rPr>
                <w:rFonts w:ascii="Arial" w:hAnsi="Arial" w:cs="Arial"/>
                <w:sz w:val="24"/>
                <w:szCs w:val="24"/>
              </w:rPr>
              <w:t>Head of Trading Standards Service</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70B797E" w:rsidR="003C57AB" w:rsidRPr="00BE7A35" w:rsidRDefault="000314E0" w:rsidP="003C57AB">
            <w:pPr>
              <w:spacing w:after="0"/>
              <w:rPr>
                <w:rFonts w:ascii="Arial" w:hAnsi="Arial" w:cs="Arial"/>
                <w:sz w:val="24"/>
                <w:szCs w:val="24"/>
              </w:rPr>
            </w:pPr>
            <w:r>
              <w:rPr>
                <w:rFonts w:ascii="Arial" w:hAnsi="Arial" w:cs="Arial"/>
                <w:sz w:val="24"/>
                <w:szCs w:val="24"/>
              </w:rPr>
              <w:t>5</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shd w:val="clear" w:color="auto" w:fill="auto"/>
          </w:tcPr>
          <w:p w14:paraId="53386985" w14:textId="0E93B378" w:rsidR="009A4FE8" w:rsidRPr="00C466DF" w:rsidRDefault="000314E0" w:rsidP="009A4FE8">
            <w:pPr>
              <w:spacing w:after="0" w:line="240" w:lineRule="auto"/>
              <w:rPr>
                <w:rFonts w:ascii="Arial" w:hAnsi="Arial" w:cs="Arial"/>
                <w:sz w:val="24"/>
                <w:szCs w:val="24"/>
              </w:rPr>
            </w:pPr>
            <w:r w:rsidRPr="0049330D">
              <w:rPr>
                <w:rFonts w:ascii="Arial" w:hAnsi="Arial" w:cs="Arial"/>
                <w:sz w:val="24"/>
                <w:szCs w:val="24"/>
              </w:rPr>
              <w:t xml:space="preserve">One of the Council’s senior professionals in </w:t>
            </w:r>
            <w:r>
              <w:rPr>
                <w:rFonts w:ascii="Arial" w:hAnsi="Arial" w:cs="Arial"/>
                <w:sz w:val="24"/>
                <w:szCs w:val="24"/>
              </w:rPr>
              <w:t>the Trading Standards Service</w:t>
            </w:r>
            <w:r w:rsidRPr="0049330D">
              <w:rPr>
                <w:rFonts w:ascii="Arial" w:hAnsi="Arial" w:cs="Arial"/>
                <w:sz w:val="24"/>
                <w:szCs w:val="24"/>
              </w:rPr>
              <w:t>, heavily involved and integrated into the service, influencing, shaping and challenging at senior levels to inform service planning, development and associated budgets within their own area</w:t>
            </w:r>
            <w:r>
              <w:rPr>
                <w:rFonts w:ascii="Arial" w:hAnsi="Arial" w:cs="Arial"/>
                <w:sz w:val="24"/>
                <w:szCs w:val="24"/>
              </w:rPr>
              <w:t xml:space="preserve"> and Service</w:t>
            </w:r>
            <w:r w:rsidRPr="0049330D">
              <w:rPr>
                <w:rFonts w:ascii="Arial" w:hAnsi="Arial" w:cs="Arial"/>
                <w:sz w:val="24"/>
                <w:szCs w:val="24"/>
              </w:rPr>
              <w:t>.</w:t>
            </w:r>
          </w:p>
          <w:p w14:paraId="26C5D15A" w14:textId="77777777" w:rsidR="009A4FE8" w:rsidRPr="00C466DF" w:rsidRDefault="009A4FE8" w:rsidP="005F4737">
            <w:pPr>
              <w:spacing w:after="0" w:line="240" w:lineRule="auto"/>
              <w:rPr>
                <w:rFonts w:ascii="Arial" w:hAnsi="Arial" w:cs="Arial"/>
                <w:sz w:val="24"/>
                <w:szCs w:val="24"/>
              </w:rPr>
            </w:pPr>
          </w:p>
          <w:p w14:paraId="12F3630A" w14:textId="44BD99F9" w:rsidR="009A4FE8" w:rsidRPr="009A4FE8" w:rsidRDefault="007316B4" w:rsidP="005F4737">
            <w:pPr>
              <w:spacing w:after="0" w:line="240" w:lineRule="auto"/>
              <w:rPr>
                <w:rFonts w:ascii="Arial" w:hAnsi="Arial"/>
                <w:sz w:val="24"/>
                <w:szCs w:val="24"/>
              </w:rPr>
            </w:pPr>
            <w:r w:rsidRPr="0049330D">
              <w:rPr>
                <w:rFonts w:ascii="Arial" w:hAnsi="Arial" w:cs="Arial"/>
                <w:sz w:val="24"/>
                <w:szCs w:val="24"/>
              </w:rPr>
              <w:t xml:space="preserve">Requires a high level of professional expertise and experience, exercising a large degree of independent professional responsibility and discretion. Role holders will lead, support or direct a team of professionals or be an individual contributor providing a technical reference to a professional team, but a major part of their role will be to work collaboratively and closely with senior management and stakeholders to ensure a range of service development, improvement and on-going compliance. </w:t>
            </w:r>
          </w:p>
          <w:p w14:paraId="3DED65CD" w14:textId="43F53DCE" w:rsidR="007A1CCA" w:rsidRPr="00784003" w:rsidRDefault="007A1CCA" w:rsidP="009A4FE8">
            <w:pPr>
              <w:spacing w:after="0" w:line="240" w:lineRule="auto"/>
              <w:rPr>
                <w:rFonts w:ascii="Arial" w:hAnsi="Arial"/>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006E31CC">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006E31CC">
        <w:tc>
          <w:tcPr>
            <w:tcW w:w="10773" w:type="dxa"/>
            <w:tcBorders>
              <w:top w:val="single" w:sz="4" w:space="0" w:color="auto"/>
              <w:left w:val="single" w:sz="4" w:space="0" w:color="auto"/>
              <w:bottom w:val="single" w:sz="4" w:space="0" w:color="auto"/>
              <w:right w:val="single" w:sz="4" w:space="0" w:color="auto"/>
            </w:tcBorders>
            <w:shd w:val="clear" w:color="auto" w:fill="auto"/>
          </w:tcPr>
          <w:p w14:paraId="2F76CF9A" w14:textId="77777777" w:rsidR="006E31CC" w:rsidRPr="006E31CC" w:rsidRDefault="006E31CC" w:rsidP="006E31CC">
            <w:pPr>
              <w:pStyle w:val="HayGroup11"/>
              <w:ind w:left="360"/>
              <w:rPr>
                <w:rFonts w:ascii="Arial" w:hAnsi="Arial" w:cs="Arial"/>
                <w:b/>
                <w:sz w:val="24"/>
                <w:lang w:val="en-GB"/>
              </w:rPr>
            </w:pPr>
          </w:p>
          <w:p w14:paraId="55AFB199" w14:textId="2B53231D"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Quality of advice/service against legal, safety and best practice standards</w:t>
            </w:r>
          </w:p>
          <w:p w14:paraId="1D0B3F0D"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Achievement of relevant service targets </w:t>
            </w:r>
          </w:p>
          <w:p w14:paraId="17E572BF"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Adherence to internal/external quality standards if applicable </w:t>
            </w:r>
          </w:p>
          <w:p w14:paraId="63F1477E"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Adherence to policies and procedures </w:t>
            </w:r>
          </w:p>
          <w:p w14:paraId="3F69AA93"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 xml:space="preserve">Accuracy and timeliness of information recording and processing </w:t>
            </w:r>
          </w:p>
          <w:p w14:paraId="118B629F" w14:textId="77777777"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rPr>
              <w:t>Customer and stakeholder feedback</w:t>
            </w:r>
          </w:p>
          <w:p w14:paraId="2277D781" w14:textId="4707CE8A" w:rsidR="006E31CC" w:rsidRPr="006E31CC" w:rsidRDefault="006E31CC" w:rsidP="006E31CC">
            <w:pPr>
              <w:pStyle w:val="HayGroup11"/>
              <w:numPr>
                <w:ilvl w:val="0"/>
                <w:numId w:val="33"/>
              </w:numPr>
              <w:rPr>
                <w:rFonts w:ascii="Arial" w:hAnsi="Arial" w:cs="Arial"/>
                <w:sz w:val="24"/>
                <w:lang w:val="en-GB"/>
              </w:rPr>
            </w:pPr>
            <w:r w:rsidRPr="006E31CC">
              <w:rPr>
                <w:rFonts w:ascii="Arial" w:hAnsi="Arial" w:cs="Arial"/>
                <w:sz w:val="24"/>
                <w:lang w:val="en-GB"/>
              </w:rPr>
              <w:t>Leading Lancashire Framework</w:t>
            </w:r>
          </w:p>
          <w:p w14:paraId="6A933266" w14:textId="77777777" w:rsidR="006E31CC" w:rsidRPr="006E31CC" w:rsidRDefault="006E31CC" w:rsidP="006E31CC">
            <w:pPr>
              <w:pStyle w:val="HayGroup11"/>
              <w:ind w:left="357"/>
              <w:rPr>
                <w:rFonts w:ascii="Arial" w:hAnsi="Arial" w:cs="Arial"/>
                <w:b/>
                <w:sz w:val="24"/>
                <w:lang w:val="en-GB"/>
              </w:rPr>
            </w:pPr>
          </w:p>
        </w:tc>
      </w:tr>
    </w:tbl>
    <w:p w14:paraId="701C7365" w14:textId="77777777" w:rsidR="006E31CC" w:rsidRDefault="006E31CC"/>
    <w:p w14:paraId="0E73F4A6" w14:textId="77777777" w:rsidR="00FD696E" w:rsidRDefault="00FD696E"/>
    <w:p w14:paraId="0D1C5676" w14:textId="77777777" w:rsidR="00FD696E" w:rsidRDefault="00FD696E"/>
    <w:p w14:paraId="565399D3" w14:textId="77777777" w:rsidR="00FD696E" w:rsidRDefault="00FD696E"/>
    <w:p w14:paraId="3B1F8767" w14:textId="77777777" w:rsidR="00FD696E" w:rsidRDefault="00FD696E"/>
    <w:p w14:paraId="117726F9" w14:textId="77777777" w:rsidR="00FD696E" w:rsidRDefault="00FD696E"/>
    <w:p w14:paraId="70B62C00" w14:textId="77777777" w:rsidR="00FD696E" w:rsidRDefault="00FD696E"/>
    <w:p w14:paraId="324CF912" w14:textId="77777777" w:rsidR="007316B4" w:rsidRPr="007316B4" w:rsidRDefault="007316B4" w:rsidP="007316B4"/>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3D79" w:rsidRPr="00784003" w14:paraId="3DD900D3" w14:textId="77777777" w:rsidTr="00D03D79">
        <w:tc>
          <w:tcPr>
            <w:tcW w:w="10808" w:type="dxa"/>
            <w:tcBorders>
              <w:top w:val="single" w:sz="4" w:space="0" w:color="auto"/>
              <w:left w:val="single" w:sz="4" w:space="0" w:color="auto"/>
              <w:bottom w:val="single" w:sz="4" w:space="0" w:color="auto"/>
              <w:right w:val="single" w:sz="4" w:space="0" w:color="auto"/>
            </w:tcBorders>
            <w:shd w:val="clear" w:color="auto" w:fill="A50021"/>
          </w:tcPr>
          <w:p w14:paraId="540E261D" w14:textId="73898954" w:rsidR="00D03D79" w:rsidRPr="00D03D79" w:rsidRDefault="00D03D79" w:rsidP="00EA7005">
            <w:pPr>
              <w:spacing w:before="120" w:after="120" w:line="240" w:lineRule="auto"/>
              <w:rPr>
                <w:rFonts w:ascii="Arial" w:hAnsi="Arial" w:cs="Arial"/>
                <w:b/>
                <w:sz w:val="24"/>
                <w:szCs w:val="24"/>
              </w:rPr>
            </w:pPr>
            <w:r w:rsidRPr="00D03D79">
              <w:rPr>
                <w:rFonts w:ascii="Arial" w:hAnsi="Arial" w:cs="Arial"/>
                <w:b/>
                <w:sz w:val="24"/>
                <w:szCs w:val="24"/>
              </w:rPr>
              <w:lastRenderedPageBreak/>
              <w:t>Lead</w:t>
            </w:r>
            <w:r>
              <w:rPr>
                <w:rFonts w:ascii="Arial" w:hAnsi="Arial" w:cs="Arial"/>
                <w:b/>
                <w:sz w:val="24"/>
                <w:szCs w:val="24"/>
              </w:rPr>
              <w:t>ing Lancashire – Our Leadership Framework</w:t>
            </w:r>
          </w:p>
        </w:tc>
      </w:tr>
      <w:tr w:rsidR="00D03D79" w:rsidRPr="00784003" w14:paraId="769F1EB0" w14:textId="77777777" w:rsidTr="00D03D79">
        <w:tc>
          <w:tcPr>
            <w:tcW w:w="10808" w:type="dxa"/>
            <w:tcBorders>
              <w:top w:val="single" w:sz="4" w:space="0" w:color="auto"/>
              <w:left w:val="single" w:sz="4" w:space="0" w:color="auto"/>
              <w:bottom w:val="single" w:sz="4" w:space="0" w:color="auto"/>
              <w:right w:val="single" w:sz="4" w:space="0" w:color="auto"/>
            </w:tcBorders>
            <w:shd w:val="clear" w:color="auto" w:fill="auto"/>
          </w:tcPr>
          <w:p w14:paraId="490173C5" w14:textId="649A34B3" w:rsidR="00D03D79" w:rsidRPr="00DF3781" w:rsidRDefault="00D03D79" w:rsidP="00EA7005">
            <w:pPr>
              <w:spacing w:before="120" w:after="120" w:line="240" w:lineRule="auto"/>
              <w:rPr>
                <w:rFonts w:ascii="Arial" w:hAnsi="Arial" w:cs="Arial"/>
                <w:b/>
                <w:sz w:val="24"/>
                <w:szCs w:val="24"/>
              </w:rPr>
            </w:pPr>
            <w:r>
              <w:rPr>
                <w:noProof/>
              </w:rPr>
              <w:drawing>
                <wp:inline distT="0" distB="0" distL="0" distR="0" wp14:anchorId="0AE4997D" wp14:editId="7EE0F772">
                  <wp:extent cx="6840220" cy="473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0220" cy="4730750"/>
                          </a:xfrm>
                          <a:prstGeom prst="rect">
                            <a:avLst/>
                          </a:prstGeom>
                        </pic:spPr>
                      </pic:pic>
                    </a:graphicData>
                  </a:graphic>
                </wp:inline>
              </w:drawing>
            </w:r>
          </w:p>
          <w:p w14:paraId="57C33397" w14:textId="77777777" w:rsidR="00D03D79" w:rsidRPr="00D03D79" w:rsidRDefault="00D03D79" w:rsidP="00D03D79">
            <w:pPr>
              <w:rPr>
                <w:rFonts w:ascii="Arial" w:hAnsi="Arial" w:cs="Arial"/>
                <w:b/>
                <w:sz w:val="24"/>
                <w:szCs w:val="24"/>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7316B4" w:rsidRPr="00784003" w14:paraId="367A9DD3" w14:textId="77777777" w:rsidTr="00D03D79">
        <w:trPr>
          <w:trHeight w:val="745"/>
        </w:trPr>
        <w:tc>
          <w:tcPr>
            <w:tcW w:w="10808" w:type="dxa"/>
            <w:shd w:val="clear" w:color="auto" w:fill="auto"/>
          </w:tcPr>
          <w:p w14:paraId="07E6CA87" w14:textId="73359B99" w:rsidR="007316B4" w:rsidRDefault="007316B4" w:rsidP="007316B4">
            <w:pPr>
              <w:rPr>
                <w:rFonts w:ascii="Arial" w:hAnsi="Arial" w:cs="Arial"/>
                <w:sz w:val="24"/>
                <w:szCs w:val="24"/>
              </w:rPr>
            </w:pPr>
            <w:r w:rsidRPr="0049330D">
              <w:rPr>
                <w:rFonts w:ascii="Arial" w:hAnsi="Arial" w:cs="Arial"/>
                <w:sz w:val="24"/>
                <w:szCs w:val="24"/>
              </w:rPr>
              <w:t>The following are a range of duties that are appropriate to this grade</w:t>
            </w:r>
            <w:r>
              <w:rPr>
                <w:rFonts w:ascii="Arial" w:hAnsi="Arial" w:cs="Arial"/>
                <w:sz w:val="24"/>
                <w:szCs w:val="24"/>
              </w:rPr>
              <w:t>:</w:t>
            </w:r>
          </w:p>
          <w:p w14:paraId="4D3C77DA" w14:textId="235805A4" w:rsidR="007316B4" w:rsidRPr="007316B4" w:rsidRDefault="007316B4" w:rsidP="007316B4">
            <w:pPr>
              <w:pStyle w:val="ListParagraph"/>
              <w:numPr>
                <w:ilvl w:val="0"/>
                <w:numId w:val="35"/>
              </w:numPr>
              <w:rPr>
                <w:rFonts w:ascii="Arial" w:hAnsi="Arial" w:cs="Arial"/>
                <w:sz w:val="24"/>
                <w:szCs w:val="24"/>
              </w:rPr>
            </w:pPr>
            <w:r w:rsidRPr="007316B4">
              <w:rPr>
                <w:rFonts w:ascii="Arial" w:hAnsi="Arial" w:cs="Arial"/>
                <w:sz w:val="24"/>
                <w:szCs w:val="24"/>
              </w:rPr>
              <w:t xml:space="preserve">Lead on the interpretation and communication of policy, legislation, regulations and codes of practice relevant to a wider service area, scanning the horizon for relevant changes that may impact the Trading Standards Service. </w:t>
            </w:r>
          </w:p>
          <w:p w14:paraId="7D666F84" w14:textId="6E3B5396" w:rsidR="007316B4" w:rsidRPr="007316B4" w:rsidRDefault="007316B4" w:rsidP="007316B4">
            <w:pPr>
              <w:pStyle w:val="ListParagraph"/>
              <w:numPr>
                <w:ilvl w:val="0"/>
                <w:numId w:val="35"/>
              </w:numPr>
              <w:rPr>
                <w:rFonts w:ascii="Arial" w:hAnsi="Arial" w:cs="Arial"/>
                <w:sz w:val="24"/>
                <w:szCs w:val="24"/>
              </w:rPr>
            </w:pPr>
            <w:r w:rsidRPr="007316B4">
              <w:rPr>
                <w:rFonts w:ascii="Arial" w:hAnsi="Arial" w:cs="Arial"/>
                <w:sz w:val="24"/>
                <w:szCs w:val="24"/>
              </w:rPr>
              <w:t>Proactively provide expert advice to meet internal/external customers’ needs, to inform multi-agency initiatives, and to facilitate management decision-making which will have medium to long term effects on the business</w:t>
            </w:r>
          </w:p>
          <w:p w14:paraId="2D4F80C2" w14:textId="591237EB" w:rsidR="007316B4" w:rsidRPr="007316B4" w:rsidRDefault="007316B4" w:rsidP="007316B4">
            <w:pPr>
              <w:pStyle w:val="ListParagraph"/>
              <w:numPr>
                <w:ilvl w:val="0"/>
                <w:numId w:val="35"/>
              </w:numPr>
              <w:rPr>
                <w:rFonts w:ascii="Arial" w:hAnsi="Arial" w:cs="Arial"/>
                <w:sz w:val="24"/>
                <w:szCs w:val="24"/>
              </w:rPr>
            </w:pPr>
            <w:r w:rsidRPr="007316B4">
              <w:rPr>
                <w:rFonts w:ascii="Arial" w:hAnsi="Arial" w:cs="Arial"/>
                <w:sz w:val="24"/>
                <w:szCs w:val="24"/>
              </w:rPr>
              <w:t xml:space="preserve">Evaluate existing provision and monitor service developments to recommend large scale service improvements for decision by senior management e.g. reviewing service delivery models. </w:t>
            </w:r>
          </w:p>
          <w:p w14:paraId="5E0B5430" w14:textId="263C72C6" w:rsidR="007316B4" w:rsidRPr="007316B4" w:rsidRDefault="007316B4" w:rsidP="007316B4">
            <w:pPr>
              <w:pStyle w:val="ListParagraph"/>
              <w:numPr>
                <w:ilvl w:val="0"/>
                <w:numId w:val="35"/>
              </w:numPr>
              <w:rPr>
                <w:rFonts w:ascii="Arial" w:hAnsi="Arial" w:cs="Arial"/>
                <w:sz w:val="24"/>
                <w:szCs w:val="24"/>
              </w:rPr>
            </w:pPr>
            <w:r w:rsidRPr="007316B4">
              <w:rPr>
                <w:rFonts w:ascii="Arial" w:hAnsi="Arial" w:cs="Arial"/>
                <w:sz w:val="24"/>
                <w:szCs w:val="24"/>
              </w:rPr>
              <w:t xml:space="preserve">Review management information requirements and identify improvements to ensure information gathered meets requirements for service planning or legal/security requirements. </w:t>
            </w:r>
          </w:p>
          <w:p w14:paraId="73A99ABD" w14:textId="33660350" w:rsidR="007316B4" w:rsidRPr="007316B4" w:rsidRDefault="007316B4" w:rsidP="007316B4">
            <w:pPr>
              <w:pStyle w:val="ListParagraph"/>
              <w:numPr>
                <w:ilvl w:val="0"/>
                <w:numId w:val="35"/>
              </w:numPr>
              <w:rPr>
                <w:rFonts w:ascii="Arial" w:hAnsi="Arial" w:cs="Arial"/>
                <w:sz w:val="24"/>
                <w:szCs w:val="24"/>
              </w:rPr>
            </w:pPr>
            <w:r w:rsidRPr="007316B4">
              <w:rPr>
                <w:rFonts w:ascii="Arial" w:hAnsi="Arial" w:cs="Arial"/>
                <w:sz w:val="24"/>
                <w:szCs w:val="24"/>
              </w:rPr>
              <w:lastRenderedPageBreak/>
              <w:t xml:space="preserve">Represent the Council at external forums, conferences and meetings to build professional networks and influence wider policy agendas. </w:t>
            </w:r>
          </w:p>
          <w:p w14:paraId="4CA234AD" w14:textId="7C31E63B" w:rsidR="007316B4" w:rsidRPr="007316B4" w:rsidRDefault="007316B4" w:rsidP="007316B4">
            <w:pPr>
              <w:pStyle w:val="ListParagraph"/>
              <w:numPr>
                <w:ilvl w:val="0"/>
                <w:numId w:val="35"/>
              </w:numPr>
              <w:rPr>
                <w:rFonts w:ascii="Arial" w:hAnsi="Arial" w:cs="Arial"/>
                <w:sz w:val="24"/>
                <w:szCs w:val="24"/>
              </w:rPr>
            </w:pPr>
            <w:r w:rsidRPr="007316B4">
              <w:rPr>
                <w:rFonts w:ascii="Arial" w:hAnsi="Arial" w:cs="Arial"/>
                <w:sz w:val="24"/>
                <w:szCs w:val="24"/>
              </w:rPr>
              <w:t xml:space="preserve">Lead on the design and delivery of medium to large projects to resolve service issues or to achieve service improvements. This includes initiating and scoping improvement </w:t>
            </w:r>
            <w:r w:rsidRPr="007316B4">
              <w:rPr>
                <w:rFonts w:ascii="Arial" w:hAnsi="Arial" w:cs="Arial"/>
                <w:sz w:val="24"/>
                <w:szCs w:val="24"/>
              </w:rPr>
              <w:t>projects and</w:t>
            </w:r>
            <w:r w:rsidRPr="007316B4">
              <w:rPr>
                <w:rFonts w:ascii="Arial" w:hAnsi="Arial" w:cs="Arial"/>
                <w:sz w:val="24"/>
                <w:szCs w:val="24"/>
              </w:rPr>
              <w:t xml:space="preserve"> leading on the design of objectives. </w:t>
            </w:r>
          </w:p>
          <w:p w14:paraId="65BA4875" w14:textId="7EB83085" w:rsidR="007316B4" w:rsidRPr="00C466DF" w:rsidRDefault="007316B4" w:rsidP="007316B4">
            <w:pPr>
              <w:pStyle w:val="Default"/>
              <w:numPr>
                <w:ilvl w:val="0"/>
                <w:numId w:val="35"/>
              </w:numPr>
            </w:pPr>
            <w:r w:rsidRPr="0049330D">
              <w:t>Lead, develop and promote a culture of continual professional development of all staff at each level.</w:t>
            </w: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lastRenderedPageBreak/>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65BEC51D" w:rsidR="0088457C" w:rsidRPr="0088457C" w:rsidRDefault="007316B4" w:rsidP="006E31CC">
            <w:pPr>
              <w:pStyle w:val="ListParagraph"/>
              <w:numPr>
                <w:ilvl w:val="0"/>
                <w:numId w:val="18"/>
              </w:numPr>
              <w:spacing w:beforeLines="120" w:before="288" w:afterLines="120" w:after="288" w:line="240" w:lineRule="auto"/>
              <w:ind w:left="357" w:hanging="357"/>
              <w:jc w:val="both"/>
              <w:rPr>
                <w:rFonts w:ascii="Arial" w:hAnsi="Arial" w:cs="Arial"/>
                <w:sz w:val="24"/>
                <w:szCs w:val="24"/>
              </w:rPr>
            </w:pPr>
            <w:r w:rsidRPr="005E33ED">
              <w:rPr>
                <w:rFonts w:ascii="Arial" w:hAnsi="Arial" w:cs="Arial"/>
                <w:sz w:val="24"/>
                <w:szCs w:val="24"/>
              </w:rPr>
              <w:t xml:space="preserve">Professional </w:t>
            </w:r>
            <w:r>
              <w:rPr>
                <w:rFonts w:ascii="Arial" w:hAnsi="Arial" w:cs="Arial"/>
                <w:sz w:val="24"/>
                <w:szCs w:val="24"/>
              </w:rPr>
              <w:t xml:space="preserve">qualification </w:t>
            </w:r>
            <w:r w:rsidRPr="00DB34EC">
              <w:rPr>
                <w:rFonts w:ascii="Arial" w:hAnsi="Arial" w:cs="Arial"/>
                <w:sz w:val="24"/>
                <w:szCs w:val="24"/>
              </w:rPr>
              <w:t>and</w:t>
            </w:r>
            <w:r>
              <w:rPr>
                <w:rFonts w:ascii="Arial" w:hAnsi="Arial" w:cs="Arial"/>
                <w:sz w:val="24"/>
                <w:szCs w:val="24"/>
              </w:rPr>
              <w:t xml:space="preserve"> </w:t>
            </w:r>
            <w:r w:rsidRPr="005E33ED">
              <w:rPr>
                <w:rFonts w:ascii="Arial" w:hAnsi="Arial" w:cs="Arial"/>
                <w:sz w:val="24"/>
                <w:szCs w:val="24"/>
              </w:rPr>
              <w:t>substantial vocational experience in a relevant technical, scientific, specialised or operational field</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1E720EDD"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Significant experience in a senior technical/specialist advisory role within a large and/or complex operation/function/service</w:t>
            </w:r>
          </w:p>
          <w:p w14:paraId="18B0FF84"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Significant experience of working across services within multidisciplinary teams; managing projects and teams outside of direct line management</w:t>
            </w:r>
          </w:p>
          <w:p w14:paraId="59472C84"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Developing initial service plans and managing services in</w:t>
            </w:r>
          </w:p>
          <w:p w14:paraId="1A839B52"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line with agreed budgets, targets and plans</w:t>
            </w:r>
          </w:p>
          <w:p w14:paraId="45EA6AB0"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Initial strategy, policy and procedural development and implementation across the area of responsibility</w:t>
            </w:r>
          </w:p>
          <w:p w14:paraId="4D0BA9DE"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Innovative and creative management of services within a changing and challenging financial environment</w:t>
            </w:r>
          </w:p>
          <w:p w14:paraId="1A773A38" w14:textId="11876265" w:rsidR="006E31CC" w:rsidRPr="0088457C" w:rsidRDefault="006E31CC" w:rsidP="007316B4">
            <w:pPr>
              <w:pStyle w:val="ListParagraph"/>
              <w:spacing w:after="0" w:line="240" w:lineRule="auto"/>
              <w:ind w:left="360"/>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7316B4" w:rsidRPr="00F511C1" w14:paraId="2EACA40B" w14:textId="77777777" w:rsidTr="00093214">
        <w:tc>
          <w:tcPr>
            <w:tcW w:w="10495" w:type="dxa"/>
            <w:tcBorders>
              <w:top w:val="nil"/>
              <w:left w:val="single" w:sz="4" w:space="0" w:color="auto"/>
              <w:bottom w:val="nil"/>
              <w:right w:val="single" w:sz="4" w:space="0" w:color="auto"/>
            </w:tcBorders>
          </w:tcPr>
          <w:p w14:paraId="2E74FB49"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Ability to build relationships and influence, develop and motivate at senior levels, internally and externally</w:t>
            </w:r>
          </w:p>
          <w:p w14:paraId="58D8F529"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Significant knowledge of the application, principles, theory and practice of the specialist area of responsibility</w:t>
            </w:r>
          </w:p>
          <w:p w14:paraId="16421757"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Comprehensive understanding of Corporate and service strategy and objectives and translation and implementation at local level</w:t>
            </w:r>
          </w:p>
          <w:p w14:paraId="0086183C" w14:textId="77777777"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Ability to apply managerial judgement to ensure service area objectives are achieved</w:t>
            </w:r>
          </w:p>
          <w:p w14:paraId="70114082" w14:textId="3F289D0A"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Strong analytical and problem</w:t>
            </w:r>
            <w:r w:rsidRPr="007316B4">
              <w:rPr>
                <w:rFonts w:ascii="Arial" w:hAnsi="Arial" w:cs="Arial"/>
                <w:sz w:val="24"/>
                <w:szCs w:val="24"/>
              </w:rPr>
              <w:t>-</w:t>
            </w:r>
            <w:r w:rsidRPr="007316B4">
              <w:rPr>
                <w:rFonts w:ascii="Arial" w:hAnsi="Arial" w:cs="Arial"/>
                <w:sz w:val="24"/>
                <w:szCs w:val="24"/>
              </w:rPr>
              <w:t>solving skills and the ability to look ahead and understand implications of future initiatives within the area of responsibility</w:t>
            </w:r>
          </w:p>
          <w:p w14:paraId="55801B85" w14:textId="4CEB0AFC" w:rsidR="007316B4" w:rsidRPr="007316B4" w:rsidRDefault="007316B4" w:rsidP="007316B4">
            <w:pPr>
              <w:pStyle w:val="ListParagraph"/>
              <w:numPr>
                <w:ilvl w:val="0"/>
                <w:numId w:val="18"/>
              </w:numPr>
              <w:spacing w:before="120" w:after="120"/>
              <w:rPr>
                <w:rFonts w:ascii="Arial" w:hAnsi="Arial" w:cs="Arial"/>
                <w:sz w:val="24"/>
                <w:szCs w:val="24"/>
              </w:rPr>
            </w:pPr>
            <w:r w:rsidRPr="007316B4">
              <w:rPr>
                <w:rFonts w:ascii="Arial" w:hAnsi="Arial" w:cs="Arial"/>
                <w:sz w:val="24"/>
                <w:szCs w:val="24"/>
              </w:rPr>
              <w:t>Strong project and change management skills</w:t>
            </w:r>
          </w:p>
        </w:tc>
      </w:tr>
      <w:tr w:rsidR="007316B4"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7316B4" w:rsidRPr="00F511C1" w:rsidRDefault="007316B4" w:rsidP="007316B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7316B4" w:rsidRPr="00F511C1" w14:paraId="505890EE" w14:textId="77777777" w:rsidTr="00093214">
        <w:tc>
          <w:tcPr>
            <w:tcW w:w="10495" w:type="dxa"/>
            <w:tcBorders>
              <w:top w:val="single" w:sz="4" w:space="0" w:color="auto"/>
              <w:bottom w:val="nil"/>
            </w:tcBorders>
          </w:tcPr>
          <w:p w14:paraId="27DC7A9D" w14:textId="7B0F3E70" w:rsidR="007316B4" w:rsidRPr="00B2478F" w:rsidRDefault="007316B4" w:rsidP="007316B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7316B4" w:rsidRPr="00F511C1" w14:paraId="1A0EFE48" w14:textId="77777777" w:rsidTr="00093214">
        <w:tc>
          <w:tcPr>
            <w:tcW w:w="10495" w:type="dxa"/>
            <w:tcBorders>
              <w:top w:val="nil"/>
              <w:bottom w:val="nil"/>
            </w:tcBorders>
          </w:tcPr>
          <w:p w14:paraId="70BCE7A1" w14:textId="12DB5B7B" w:rsidR="007316B4" w:rsidRPr="00B2478F" w:rsidRDefault="007316B4" w:rsidP="007316B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7316B4" w:rsidRPr="00F511C1" w14:paraId="7A195D6A" w14:textId="77777777" w:rsidTr="00093214">
        <w:tc>
          <w:tcPr>
            <w:tcW w:w="10495" w:type="dxa"/>
            <w:tcBorders>
              <w:top w:val="nil"/>
              <w:bottom w:val="nil"/>
            </w:tcBorders>
          </w:tcPr>
          <w:p w14:paraId="4C3DCE1F" w14:textId="04513CDA" w:rsidR="007316B4" w:rsidRPr="00B2478F" w:rsidRDefault="007316B4" w:rsidP="007316B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lastRenderedPageBreak/>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tc>
      </w:tr>
      <w:tr w:rsidR="007316B4" w:rsidRPr="00F511C1" w14:paraId="4DAFDB7C" w14:textId="77777777" w:rsidTr="00093214">
        <w:tc>
          <w:tcPr>
            <w:tcW w:w="10495" w:type="dxa"/>
            <w:tcBorders>
              <w:top w:val="nil"/>
            </w:tcBorders>
          </w:tcPr>
          <w:p w14:paraId="3A21A9C3" w14:textId="0F1E1A20" w:rsidR="007316B4" w:rsidRPr="005F0153" w:rsidRDefault="007316B4" w:rsidP="007316B4">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 xml:space="preserve">This is an essential car user post  </w:t>
            </w:r>
          </w:p>
          <w:p w14:paraId="387A7A3A" w14:textId="3E4313E0" w:rsidR="007316B4" w:rsidRPr="004D79B1" w:rsidRDefault="007316B4" w:rsidP="007316B4">
            <w:pPr>
              <w:pStyle w:val="ListParagraph"/>
              <w:spacing w:before="120" w:after="120"/>
              <w:ind w:left="360"/>
              <w:rPr>
                <w:rFonts w:ascii="Arial" w:hAnsi="Arial" w:cs="Arial"/>
                <w:i/>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Pr="005F0153">
              <w:rPr>
                <w:rFonts w:ascii="Arial" w:hAnsi="Arial" w:cs="Arial"/>
                <w:i/>
                <w:sz w:val="24"/>
                <w:szCs w:val="24"/>
              </w:rPr>
              <w:t xml:space="preserve">In certain circumstances consideration may be given to applicants who, </w:t>
            </w:r>
            <w:proofErr w:type="gramStart"/>
            <w:r w:rsidRPr="005F0153">
              <w:rPr>
                <w:rFonts w:ascii="Arial" w:hAnsi="Arial" w:cs="Arial"/>
                <w:i/>
                <w:sz w:val="24"/>
                <w:szCs w:val="24"/>
              </w:rPr>
              <w:t>as a consequence of</w:t>
            </w:r>
            <w:proofErr w:type="gramEnd"/>
            <w:r w:rsidRPr="005F0153">
              <w:rPr>
                <w:rFonts w:ascii="Arial" w:hAnsi="Arial" w:cs="Arial"/>
                <w:i/>
                <w:sz w:val="24"/>
                <w:szCs w:val="24"/>
              </w:rPr>
              <w:t xml:space="preserve"> a disability, are unable to drive</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4AEA" w14:textId="678DA7BF" w:rsidR="00944F09" w:rsidRPr="00883689" w:rsidRDefault="00883689" w:rsidP="00944F09">
    <w:pPr>
      <w:pStyle w:val="Footer"/>
      <w:rPr>
        <w:rFonts w:ascii="Arial" w:hAnsi="Arial" w:cs="Arial"/>
        <w:sz w:val="20"/>
        <w:szCs w:val="20"/>
      </w:rPr>
    </w:pPr>
    <w:r w:rsidRPr="00883689">
      <w:rPr>
        <w:rFonts w:ascii="Arial" w:hAnsi="Arial" w:cs="Arial"/>
        <w:sz w:val="20"/>
        <w:szCs w:val="20"/>
      </w:rPr>
      <w:t>[</w:t>
    </w:r>
    <w:r w:rsidR="007316B4">
      <w:rPr>
        <w:rFonts w:ascii="Arial" w:hAnsi="Arial" w:cs="Arial"/>
        <w:sz w:val="20"/>
        <w:szCs w:val="20"/>
      </w:rPr>
      <w:t>March 2025</w:t>
    </w:r>
    <w:r w:rsidRPr="00883689">
      <w:rPr>
        <w:rFonts w:ascii="Arial" w:hAnsi="Arial" w:cs="Arial"/>
        <w:sz w:val="20"/>
        <w:szCs w:val="20"/>
      </w:rPr>
      <w:t>]</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55EC0FC8" w:rsidR="00883689" w:rsidRPr="00904FB9" w:rsidRDefault="000314E0" w:rsidP="00883689">
          <w:pPr>
            <w:pStyle w:val="Header"/>
            <w:spacing w:before="120" w:after="120"/>
            <w:jc w:val="center"/>
            <w:rPr>
              <w:rFonts w:ascii="Arial" w:hAnsi="Arial" w:cs="Arial"/>
              <w:b/>
              <w:sz w:val="28"/>
              <w:szCs w:val="28"/>
            </w:rPr>
          </w:pPr>
          <w:r>
            <w:rPr>
              <w:rFonts w:ascii="Arial" w:hAnsi="Arial" w:cs="Arial"/>
              <w:b/>
              <w:color w:val="A50021"/>
              <w:sz w:val="28"/>
              <w:szCs w:val="28"/>
            </w:rPr>
            <w:t>Trading Standards Manager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65pt;height:316.8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D3E1D"/>
    <w:multiLevelType w:val="hybridMultilevel"/>
    <w:tmpl w:val="329A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12208"/>
    <w:multiLevelType w:val="hybridMultilevel"/>
    <w:tmpl w:val="AE8CC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055FF1"/>
    <w:multiLevelType w:val="hybridMultilevel"/>
    <w:tmpl w:val="7B8AC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93A5D"/>
    <w:multiLevelType w:val="hybridMultilevel"/>
    <w:tmpl w:val="6748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2"/>
  </w:num>
  <w:num w:numId="3" w16cid:durableId="439031600">
    <w:abstractNumId w:val="21"/>
  </w:num>
  <w:num w:numId="4" w16cid:durableId="1363550396">
    <w:abstractNumId w:val="24"/>
  </w:num>
  <w:num w:numId="5" w16cid:durableId="1447702445">
    <w:abstractNumId w:val="11"/>
  </w:num>
  <w:num w:numId="6" w16cid:durableId="1491292271">
    <w:abstractNumId w:val="26"/>
  </w:num>
  <w:num w:numId="7" w16cid:durableId="1089616268">
    <w:abstractNumId w:val="13"/>
  </w:num>
  <w:num w:numId="8" w16cid:durableId="585697795">
    <w:abstractNumId w:val="35"/>
  </w:num>
  <w:num w:numId="9" w16cid:durableId="1784493513">
    <w:abstractNumId w:val="9"/>
  </w:num>
  <w:num w:numId="10" w16cid:durableId="1631083330">
    <w:abstractNumId w:val="14"/>
  </w:num>
  <w:num w:numId="11" w16cid:durableId="1299872964">
    <w:abstractNumId w:val="0"/>
  </w:num>
  <w:num w:numId="12" w16cid:durableId="23404164">
    <w:abstractNumId w:val="18"/>
  </w:num>
  <w:num w:numId="13" w16cid:durableId="1019772408">
    <w:abstractNumId w:val="7"/>
  </w:num>
  <w:num w:numId="14" w16cid:durableId="55473651">
    <w:abstractNumId w:val="8"/>
  </w:num>
  <w:num w:numId="15" w16cid:durableId="283196743">
    <w:abstractNumId w:val="25"/>
  </w:num>
  <w:num w:numId="16" w16cid:durableId="2094737737">
    <w:abstractNumId w:val="31"/>
  </w:num>
  <w:num w:numId="17" w16cid:durableId="1721592948">
    <w:abstractNumId w:val="3"/>
  </w:num>
  <w:num w:numId="18" w16cid:durableId="994576094">
    <w:abstractNumId w:val="23"/>
  </w:num>
  <w:num w:numId="19" w16cid:durableId="363560435">
    <w:abstractNumId w:val="5"/>
  </w:num>
  <w:num w:numId="20" w16cid:durableId="705523551">
    <w:abstractNumId w:val="19"/>
  </w:num>
  <w:num w:numId="21" w16cid:durableId="138695120">
    <w:abstractNumId w:val="12"/>
  </w:num>
  <w:num w:numId="22" w16cid:durableId="576091220">
    <w:abstractNumId w:val="6"/>
  </w:num>
  <w:num w:numId="23" w16cid:durableId="2055427743">
    <w:abstractNumId w:val="4"/>
  </w:num>
  <w:num w:numId="24" w16cid:durableId="1650359097">
    <w:abstractNumId w:val="29"/>
  </w:num>
  <w:num w:numId="25" w16cid:durableId="2101634239">
    <w:abstractNumId w:val="16"/>
  </w:num>
  <w:num w:numId="26" w16cid:durableId="1079402475">
    <w:abstractNumId w:val="2"/>
  </w:num>
  <w:num w:numId="27" w16cid:durableId="1110510433">
    <w:abstractNumId w:val="32"/>
  </w:num>
  <w:num w:numId="28" w16cid:durableId="149449392">
    <w:abstractNumId w:val="15"/>
  </w:num>
  <w:num w:numId="29" w16cid:durableId="191921037">
    <w:abstractNumId w:val="10"/>
  </w:num>
  <w:num w:numId="30" w16cid:durableId="414323861">
    <w:abstractNumId w:val="33"/>
  </w:num>
  <w:num w:numId="31" w16cid:durableId="1670523958">
    <w:abstractNumId w:val="34"/>
  </w:num>
  <w:num w:numId="32" w16cid:durableId="451871796">
    <w:abstractNumId w:val="27"/>
  </w:num>
  <w:num w:numId="33" w16cid:durableId="1462067653">
    <w:abstractNumId w:val="1"/>
  </w:num>
  <w:num w:numId="34" w16cid:durableId="963926749">
    <w:abstractNumId w:val="20"/>
  </w:num>
  <w:num w:numId="35" w16cid:durableId="540633729">
    <w:abstractNumId w:val="17"/>
  </w:num>
  <w:num w:numId="36" w16cid:durableId="7271479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14E0"/>
    <w:rsid w:val="0004487A"/>
    <w:rsid w:val="00065BA3"/>
    <w:rsid w:val="00077CAB"/>
    <w:rsid w:val="00081256"/>
    <w:rsid w:val="00084A65"/>
    <w:rsid w:val="00087C26"/>
    <w:rsid w:val="00092AA1"/>
    <w:rsid w:val="00093214"/>
    <w:rsid w:val="000973F7"/>
    <w:rsid w:val="000B5848"/>
    <w:rsid w:val="000D74C9"/>
    <w:rsid w:val="000E376A"/>
    <w:rsid w:val="000E5BD7"/>
    <w:rsid w:val="00103393"/>
    <w:rsid w:val="0012367F"/>
    <w:rsid w:val="001263A2"/>
    <w:rsid w:val="00134ADE"/>
    <w:rsid w:val="0016227C"/>
    <w:rsid w:val="00167572"/>
    <w:rsid w:val="00173FCC"/>
    <w:rsid w:val="00184609"/>
    <w:rsid w:val="001A5E99"/>
    <w:rsid w:val="001A7954"/>
    <w:rsid w:val="001E1319"/>
    <w:rsid w:val="001F5F6B"/>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42788C"/>
    <w:rsid w:val="00431200"/>
    <w:rsid w:val="00436D06"/>
    <w:rsid w:val="00454521"/>
    <w:rsid w:val="00460A29"/>
    <w:rsid w:val="004719A7"/>
    <w:rsid w:val="00483CBF"/>
    <w:rsid w:val="0049033C"/>
    <w:rsid w:val="004A5AFB"/>
    <w:rsid w:val="004B7DF4"/>
    <w:rsid w:val="004E0A78"/>
    <w:rsid w:val="004E7E0E"/>
    <w:rsid w:val="004F0FA5"/>
    <w:rsid w:val="004F1515"/>
    <w:rsid w:val="0050043B"/>
    <w:rsid w:val="00501B78"/>
    <w:rsid w:val="00534BB6"/>
    <w:rsid w:val="00536E13"/>
    <w:rsid w:val="00591802"/>
    <w:rsid w:val="005971BA"/>
    <w:rsid w:val="005A0127"/>
    <w:rsid w:val="005A5904"/>
    <w:rsid w:val="005B45FC"/>
    <w:rsid w:val="005C5B48"/>
    <w:rsid w:val="005E4780"/>
    <w:rsid w:val="005F0153"/>
    <w:rsid w:val="005F4737"/>
    <w:rsid w:val="006026D2"/>
    <w:rsid w:val="00625C17"/>
    <w:rsid w:val="00627BBB"/>
    <w:rsid w:val="00627F64"/>
    <w:rsid w:val="00645191"/>
    <w:rsid w:val="00686894"/>
    <w:rsid w:val="006B25CE"/>
    <w:rsid w:val="006B5443"/>
    <w:rsid w:val="006D331F"/>
    <w:rsid w:val="006D46EA"/>
    <w:rsid w:val="006E31CC"/>
    <w:rsid w:val="006F10A8"/>
    <w:rsid w:val="0070453D"/>
    <w:rsid w:val="007046BD"/>
    <w:rsid w:val="00707946"/>
    <w:rsid w:val="00707A73"/>
    <w:rsid w:val="0072181F"/>
    <w:rsid w:val="00725524"/>
    <w:rsid w:val="00725DAB"/>
    <w:rsid w:val="007316B4"/>
    <w:rsid w:val="007420E7"/>
    <w:rsid w:val="00746CF0"/>
    <w:rsid w:val="00783CD4"/>
    <w:rsid w:val="00784003"/>
    <w:rsid w:val="0079262E"/>
    <w:rsid w:val="00793C75"/>
    <w:rsid w:val="007A1CCA"/>
    <w:rsid w:val="007A2612"/>
    <w:rsid w:val="007B562B"/>
    <w:rsid w:val="007C117F"/>
    <w:rsid w:val="007C5E21"/>
    <w:rsid w:val="007E00BB"/>
    <w:rsid w:val="00832780"/>
    <w:rsid w:val="00834218"/>
    <w:rsid w:val="00854A68"/>
    <w:rsid w:val="00855E4C"/>
    <w:rsid w:val="0087424C"/>
    <w:rsid w:val="00877FD0"/>
    <w:rsid w:val="00883689"/>
    <w:rsid w:val="0088457C"/>
    <w:rsid w:val="00897E4C"/>
    <w:rsid w:val="008A146B"/>
    <w:rsid w:val="008A6083"/>
    <w:rsid w:val="008B38C2"/>
    <w:rsid w:val="008E50FB"/>
    <w:rsid w:val="008E6F52"/>
    <w:rsid w:val="008E779F"/>
    <w:rsid w:val="00913B3E"/>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03D79"/>
    <w:rsid w:val="00D162D3"/>
    <w:rsid w:val="00D46FFD"/>
    <w:rsid w:val="00D5682A"/>
    <w:rsid w:val="00D64A7D"/>
    <w:rsid w:val="00D977B2"/>
    <w:rsid w:val="00DB2B00"/>
    <w:rsid w:val="00DC307E"/>
    <w:rsid w:val="00DC77BF"/>
    <w:rsid w:val="00DD2DA6"/>
    <w:rsid w:val="00E416FC"/>
    <w:rsid w:val="00E555CD"/>
    <w:rsid w:val="00E751B0"/>
    <w:rsid w:val="00E75397"/>
    <w:rsid w:val="00E97F2A"/>
    <w:rsid w:val="00EB74C9"/>
    <w:rsid w:val="00F00014"/>
    <w:rsid w:val="00F13963"/>
    <w:rsid w:val="00F13C00"/>
    <w:rsid w:val="00F5215A"/>
    <w:rsid w:val="00F7556F"/>
    <w:rsid w:val="00F808CB"/>
    <w:rsid w:val="00FA1EBA"/>
    <w:rsid w:val="00FA4E3F"/>
    <w:rsid w:val="00FB6D25"/>
    <w:rsid w:val="00FB7534"/>
    <w:rsid w:val="00FB7BB1"/>
    <w:rsid w:val="00FD696E"/>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0" ma:contentTypeDescription="Create a new document." ma:contentTypeScope="" ma:versionID="8de88fa87c5322edd8b772594b65678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2.xml><?xml version="1.0" encoding="utf-8"?>
<ds:datastoreItem xmlns:ds="http://schemas.openxmlformats.org/officeDocument/2006/customXml" ds:itemID="{581B9177-4BD2-4DE2-BF71-EC6E8C85F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C4562A-5E02-4F4F-B9F5-81183B6BCBEF}">
  <ds:schemaRefs>
    <ds:schemaRef ds:uri="http://schemas.microsoft.com/sharepoint/v3/contenttype/forms"/>
  </ds:schemaRefs>
</ds:datastoreItem>
</file>

<file path=customXml/itemProps4.xml><?xml version="1.0" encoding="utf-8"?>
<ds:datastoreItem xmlns:ds="http://schemas.openxmlformats.org/officeDocument/2006/customXml" ds:itemID="{DEA71848-E6B4-4475-8323-A21B14AF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Mason, Samantha</cp:lastModifiedBy>
  <cp:revision>2</cp:revision>
  <cp:lastPrinted>2017-11-07T10:18:00Z</cp:lastPrinted>
  <dcterms:created xsi:type="dcterms:W3CDTF">2025-03-13T11:36:00Z</dcterms:created>
  <dcterms:modified xsi:type="dcterms:W3CDTF">2025-03-13T11:36:00Z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