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19" w:type="dxa"/>
        <w:tblInd w:w="-885" w:type="dxa"/>
        <w:tblLook w:val="04A0"/>
      </w:tblPr>
      <w:tblGrid>
        <w:gridCol w:w="3403"/>
        <w:gridCol w:w="284"/>
        <w:gridCol w:w="5386"/>
        <w:gridCol w:w="284"/>
        <w:gridCol w:w="2835"/>
        <w:gridCol w:w="283"/>
        <w:gridCol w:w="3544"/>
      </w:tblGrid>
      <w:tr w:rsidR="00BE6992" w:rsidRPr="00183D0A" w:rsidTr="00DD6D7E"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83D0A" w:rsidRDefault="00862C5F" w:rsidP="003F1499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 w:rsidRPr="00183D0A">
              <w:rPr>
                <w:rFonts w:asciiTheme="minorHAnsi" w:hAnsiTheme="minorHAnsi"/>
                <w:b/>
                <w:sz w:val="32"/>
                <w:szCs w:val="32"/>
              </w:rPr>
              <w:t>Positive Relationship</w:t>
            </w:r>
            <w:r w:rsidR="00D921C9">
              <w:rPr>
                <w:rFonts w:asciiTheme="minorHAnsi" w:hAnsiTheme="minorHAnsi"/>
                <w:b/>
                <w:sz w:val="32"/>
                <w:szCs w:val="32"/>
              </w:rPr>
              <w:t xml:space="preserve"> - </w:t>
            </w:r>
            <w:r w:rsidR="00D921C9">
              <w:rPr>
                <w:rFonts w:asciiTheme="minorHAnsi" w:hAnsiTheme="minorHAnsi"/>
                <w:b/>
                <w:sz w:val="28"/>
                <w:szCs w:val="28"/>
              </w:rPr>
              <w:t>what adults could do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E6992" w:rsidRPr="00183D0A" w:rsidRDefault="00BE6992" w:rsidP="0075319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83D0A" w:rsidRDefault="006E572E" w:rsidP="0075319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8-20</w:t>
            </w:r>
            <w:r w:rsidR="00BE6992" w:rsidRPr="00183D0A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BE6992" w:rsidRPr="00183D0A" w:rsidTr="00DD6D7E">
        <w:tc>
          <w:tcPr>
            <w:tcW w:w="90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AB172E" w:rsidRDefault="00BE6992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992" w:rsidRPr="00AB172E" w:rsidRDefault="00BE6992" w:rsidP="00753196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AB172E" w:rsidRDefault="00BE6992" w:rsidP="00753196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</w:tr>
      <w:tr w:rsidR="0038273B" w:rsidRPr="00183D0A" w:rsidTr="00DD6D7E">
        <w:tc>
          <w:tcPr>
            <w:tcW w:w="9073" w:type="dxa"/>
            <w:gridSpan w:val="3"/>
            <w:shd w:val="clear" w:color="auto" w:fill="D9D9D9" w:themeFill="background1" w:themeFillShade="D9"/>
            <w:vAlign w:val="center"/>
          </w:tcPr>
          <w:p w:rsidR="00753196" w:rsidRPr="00AB172E" w:rsidRDefault="0075319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PRIME AREAS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53196" w:rsidRPr="00AB172E" w:rsidRDefault="00753196" w:rsidP="00753196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vAlign w:val="center"/>
          </w:tcPr>
          <w:p w:rsidR="00753196" w:rsidRPr="00AB172E" w:rsidRDefault="00753196" w:rsidP="00753196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SPECIFIC AREAS</w:t>
            </w:r>
          </w:p>
        </w:tc>
      </w:tr>
      <w:tr w:rsidR="00DD6D7E" w:rsidRPr="00183D0A" w:rsidTr="00DD6D7E">
        <w:tc>
          <w:tcPr>
            <w:tcW w:w="9073" w:type="dxa"/>
            <w:gridSpan w:val="3"/>
            <w:tcBorders>
              <w:left w:val="nil"/>
              <w:right w:val="nil"/>
            </w:tcBorders>
          </w:tcPr>
          <w:p w:rsidR="00753196" w:rsidRPr="00AB172E" w:rsidRDefault="0075319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AB172E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53196" w:rsidRPr="00AB172E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AB172E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753196" w:rsidRPr="00AB172E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D6D7E" w:rsidRPr="00183D0A" w:rsidTr="00DD6D7E">
        <w:tc>
          <w:tcPr>
            <w:tcW w:w="9073" w:type="dxa"/>
            <w:gridSpan w:val="3"/>
            <w:shd w:val="clear" w:color="auto" w:fill="FFFF00"/>
          </w:tcPr>
          <w:p w:rsidR="00075365" w:rsidRPr="00AB172E" w:rsidRDefault="0007536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A148EE" w:rsidRPr="00AB172E" w:rsidRDefault="00A148EE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PSED</w:t>
            </w:r>
          </w:p>
          <w:p w:rsidR="00D64AE5" w:rsidRPr="00AB172E" w:rsidRDefault="00D64AE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D64AE5" w:rsidRPr="00AB172E" w:rsidRDefault="00D64AE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Making Relationships</w:t>
            </w:r>
          </w:p>
          <w:p w:rsidR="00301478" w:rsidRPr="00AB172E" w:rsidRDefault="00301478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Make sure babies have their own special person in the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setting, who knows them really well and understands their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wants and needs.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Tune in sensitively to babies, and provide warm, loving,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consistent care, responding quickly to babies’ needs.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Hold and handle babies, since sensitive touch helps to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build security and attachment.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Ensure that the key person or buddy is available to greet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a young baby at the beginning of the session, and to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hand them over to parents at the end of a session, so the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young baby is supported and communication with parents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is maintained.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Engage in playful interactions that encourage young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babies to respond to, or mimic, adults.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Follow the baby’s lead by repeating vocalisations,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mirroring movements and showing the baby that you are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‘listening’ fully.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Notice when babies turn away, signalling their need for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less stimulation.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Discover from parents the copying games that their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babies enjoy, and use these as the basis for your play.</w:t>
            </w:r>
          </w:p>
          <w:p w:rsidR="00246E02" w:rsidRPr="00AB172E" w:rsidRDefault="00301478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Talk with babies about special people, such as their family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members, e.g. grandparents.</w:t>
            </w:r>
          </w:p>
          <w:p w:rsidR="00301478" w:rsidRPr="00AB172E" w:rsidRDefault="00301478" w:rsidP="00301478">
            <w:pPr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A148EE" w:rsidRPr="00AB172E" w:rsidRDefault="00A148EE" w:rsidP="00A148EE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Self-confidence and self-awareness</w:t>
            </w:r>
          </w:p>
          <w:p w:rsidR="00301478" w:rsidRPr="00AB172E" w:rsidRDefault="00301478" w:rsidP="00A148EE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Playfully help babies to recognise that they are separate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and different from others, e.g. pointing to own and baby’s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nose, eyes, fingers.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Give opportunities for babies to have choice, where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possible.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Follow young babies’ lead as they explore their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surroundings, people and resources.</w:t>
            </w:r>
          </w:p>
          <w:p w:rsidR="00301478" w:rsidRPr="00AB172E" w:rsidRDefault="00301478" w:rsidP="00AB172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Talk to babies about puzzles they encounter such as how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to get their sock back from where it has fallen, asking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whether they can do it or if they might need help.</w:t>
            </w:r>
          </w:p>
          <w:p w:rsidR="00301478" w:rsidRPr="00AB172E" w:rsidRDefault="00301478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148EE" w:rsidRPr="00AB172E" w:rsidRDefault="00A148EE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Managing Feelings</w:t>
            </w:r>
            <w:r w:rsidR="003A7BC6" w:rsidRPr="00AB172E">
              <w:rPr>
                <w:rFonts w:asciiTheme="minorHAnsi" w:hAnsiTheme="minorHAnsi"/>
                <w:b/>
                <w:sz w:val="13"/>
                <w:szCs w:val="13"/>
              </w:rPr>
              <w:t xml:space="preserve"> &amp; Behaviour</w:t>
            </w:r>
          </w:p>
          <w:p w:rsidR="00301478" w:rsidRPr="00AB172E" w:rsidRDefault="00301478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Establish shared understandings between home and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setting about ways of responding to babies’ emotions.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Make sure the key person stays close by and provides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a secure presence and a refuge at times a child may be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feeling anxious.</w:t>
            </w:r>
          </w:p>
          <w:p w:rsidR="00301478" w:rsidRPr="00AB172E" w:rsidRDefault="00301478" w:rsidP="0030147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Support children who are anxious on separating from their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parents by acknowledging their feelings and reassuring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them.</w:t>
            </w:r>
          </w:p>
          <w:p w:rsidR="00B24109" w:rsidRPr="00AB172E" w:rsidRDefault="00301478" w:rsidP="00AB172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Demonstrate clear and consistent boundaries and</w:t>
            </w:r>
            <w:r w:rsidR="00AB172E"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reasonable yet challenging expectations.</w:t>
            </w:r>
          </w:p>
          <w:p w:rsidR="00075365" w:rsidRPr="00AB172E" w:rsidRDefault="00075365" w:rsidP="00D64AE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075365" w:rsidRPr="00AB172E" w:rsidRDefault="00075365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753196" w:rsidRPr="00AB172E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Literacy</w:t>
            </w:r>
          </w:p>
          <w:p w:rsidR="00753196" w:rsidRPr="00AB172E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753196" w:rsidRPr="00AB172E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Reading</w:t>
            </w:r>
          </w:p>
          <w:p w:rsidR="00301478" w:rsidRPr="00AB172E" w:rsidRDefault="00301478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D64AE5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Notice and support babies’ developing responses as they learn to anticipate and join in with finger and word play.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753196" w:rsidRPr="00AB172E" w:rsidRDefault="00753196" w:rsidP="00753196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b/>
                <w:sz w:val="13"/>
                <w:szCs w:val="13"/>
              </w:rPr>
              <w:t>Writing</w:t>
            </w:r>
          </w:p>
          <w:p w:rsidR="00301478" w:rsidRPr="00AB172E" w:rsidRDefault="00301478" w:rsidP="00753196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753196" w:rsidRPr="00AB172E" w:rsidRDefault="00AB172E" w:rsidP="00753196">
            <w:pPr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See Communication and Language</w:t>
            </w:r>
          </w:p>
          <w:p w:rsidR="00753196" w:rsidRPr="00AB172E" w:rsidRDefault="00753196" w:rsidP="00F92083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075365" w:rsidRPr="00AB172E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Mathematics</w:t>
            </w: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Numbers</w:t>
            </w:r>
          </w:p>
          <w:p w:rsidR="00301478" w:rsidRPr="00AB172E" w:rsidRDefault="00301478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Sing number rhymes as you dress or change babies, e.g. ‘One, Two, Buckle My Shoe’.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Move with babies to the rhythm patterns in familiar songs and rhymes.</w:t>
            </w:r>
          </w:p>
          <w:p w:rsidR="00BE6992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babies to join in tapping and clapping along to simple rhythms.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AB172E" w:rsidRDefault="00BE6992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Shape, space and measures</w:t>
            </w:r>
          </w:p>
          <w:p w:rsidR="00301478" w:rsidRPr="00AB172E" w:rsidRDefault="00301478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Play games that involve curling and stretching, popping up and bobbing down.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babies’ explorations of the characteristics of objects, e.g. by rolling a ball to them.</w:t>
            </w:r>
          </w:p>
          <w:p w:rsidR="00F92083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Talk about what objects are like and how objects, such as a sponge, can change their shape by being squeezed or stretched.</w:t>
            </w:r>
          </w:p>
          <w:p w:rsidR="00F92083" w:rsidRPr="00AB172E" w:rsidRDefault="00F92083" w:rsidP="00D64AE5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D6D7E" w:rsidRPr="00183D0A" w:rsidTr="003F1499">
        <w:trPr>
          <w:trHeight w:val="218"/>
        </w:trPr>
        <w:tc>
          <w:tcPr>
            <w:tcW w:w="3403" w:type="dxa"/>
            <w:tcBorders>
              <w:left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D6D7E" w:rsidRPr="00183D0A" w:rsidTr="003F1499">
        <w:tc>
          <w:tcPr>
            <w:tcW w:w="3403" w:type="dxa"/>
            <w:shd w:val="clear" w:color="auto" w:fill="CCC0D9" w:themeFill="accent4" w:themeFillTint="66"/>
          </w:tcPr>
          <w:p w:rsidR="00075365" w:rsidRPr="00AB172E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148EE" w:rsidRPr="00AB172E" w:rsidRDefault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Physical Development</w:t>
            </w:r>
          </w:p>
          <w:p w:rsidR="00A148EE" w:rsidRPr="00AB172E" w:rsidRDefault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148EE" w:rsidRPr="00AB172E" w:rsidRDefault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Moving and handling</w:t>
            </w:r>
          </w:p>
          <w:p w:rsidR="00AB172E" w:rsidRPr="00AB172E" w:rsidRDefault="00AB172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Engage babies in varied physical experiences, such as bouncing, rolling, rocking and splashing, both indoors and outdoors.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babies to use resources they can grasp, squeeze and throw.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babies to notice other babies and children coming and going near to them.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Support and encourage babies’ drive to stand and walk.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Be aware that babies have little sense of danger when their interests are focused on getting something they want.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Use feeding, changing and bathing times to share finger plays, such as ‘Round and Round the Garden’.</w:t>
            </w:r>
          </w:p>
          <w:p w:rsidR="00B24109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Show babies different ways to make marks in dough or paint by swirling, poking or patting it.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A148EE" w:rsidRPr="00AB172E" w:rsidRDefault="00A148EE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Health and self-care</w:t>
            </w:r>
          </w:p>
          <w:p w:rsidR="00AB172E" w:rsidRPr="00AB172E" w:rsidRDefault="00AB172E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Talk to parents about how their baby communicates needs. Ensure that parents and carers who speak languages other than English are able to share their views.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Help children to enjoy their food and appreciate healthier choices by combining favourites with new tastes and textures.</w:t>
            </w:r>
          </w:p>
          <w:p w:rsidR="00D64AE5" w:rsidRPr="003F1499" w:rsidRDefault="00AB172E" w:rsidP="00D64AE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Be aware that babies have little sense of danger when their interests are focused on getting something they want.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5386" w:type="dxa"/>
            <w:shd w:val="clear" w:color="auto" w:fill="DAEEF3" w:themeFill="accent5" w:themeFillTint="33"/>
          </w:tcPr>
          <w:p w:rsidR="00075365" w:rsidRPr="00AB172E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753196" w:rsidRPr="00AB172E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Communication and language</w:t>
            </w:r>
          </w:p>
          <w:p w:rsidR="00753196" w:rsidRPr="00AB172E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753196" w:rsidRPr="00AB172E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Listening and attention</w:t>
            </w:r>
          </w:p>
          <w:p w:rsidR="00AB172E" w:rsidRPr="00AB172E" w:rsidRDefault="00AB172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Being physically close, making eye contact, using touch or voice all provide ideal opportunities for early conversations between adults and babies, and between one baby and another.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playfulness, turn-taking and responses, including peek-a-boo and rhymes.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Use a lively voice, with ups and downs to help babies tune in.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Sing songs and rhymes during everyday routines.</w:t>
            </w:r>
          </w:p>
          <w:p w:rsidR="00B24109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Use repeated sounds, and words and phrases so babies can begin to recognise particular sounds.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753196" w:rsidRPr="00AB172E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Understanding</w:t>
            </w:r>
          </w:p>
          <w:p w:rsidR="00AB172E" w:rsidRPr="00AB172E" w:rsidRDefault="00AB172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Look at the baby and say their name. Make eye contact and wait for them to react.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Interpret and give meaning to the things young babies show interest in, e.g. when babies point to an object tell them what it is.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Talk to babies about what you are doing and what is happening, so they will link words with actions, e.g. preparing lunch.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Use actions to support your words, e.g. waving when you say ‘bye bye’.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Speak clearly. Babies respond well to a higher pitched, sing-song voice.</w:t>
            </w:r>
          </w:p>
          <w:p w:rsidR="00D64AE5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Use and repeat single words, so the baby can gradually link the word to its meaning.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24109" w:rsidRPr="00AB172E" w:rsidRDefault="00753196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Speaking</w:t>
            </w:r>
          </w:p>
          <w:p w:rsidR="00AB172E" w:rsidRPr="00AB172E" w:rsidRDefault="00AB172E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Try to ‘tune in’ to the different messages young babies are attempting to convey.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Share the fun of discovery and value babies’ attempts at words, e.g., by picking up a doll in response to “baba”.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When babies try to say a word, repeat it back so they can hear the name of the object clearly.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Find out from parents greetings used in English and in languages other than English, and use them in the setting.</w:t>
            </w:r>
          </w:p>
          <w:p w:rsidR="00D64AE5" w:rsidRPr="003F1499" w:rsidRDefault="00AB172E" w:rsidP="003F149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Recognise and equally value all languages spoken and written by parents, staff and children.</w:t>
            </w:r>
          </w:p>
          <w:p w:rsidR="00F92083" w:rsidRPr="00AB172E" w:rsidRDefault="00F92083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075365" w:rsidRPr="00AB172E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Understanding the world</w:t>
            </w: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People and communities</w:t>
            </w:r>
          </w:p>
          <w:p w:rsidR="00301478" w:rsidRPr="00AB172E" w:rsidRDefault="00301478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F92083" w:rsidRPr="00AB172E" w:rsidRDefault="00AB172E" w:rsidP="003F149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See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Personal, Social and Emotional Development </w:t>
            </w:r>
            <w:r w:rsidRPr="00AB172E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and</w:t>
            </w:r>
            <w:r w:rsidR="003F1499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Communication and Language.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The world</w:t>
            </w:r>
          </w:p>
          <w:p w:rsidR="00301478" w:rsidRPr="00AB172E" w:rsidRDefault="00301478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Play hiding and finding games inside and outdoors.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Plan varied arrangements of equipment and materials that</w:t>
            </w:r>
            <w:r w:rsidR="003F1499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can be used with babies in a variety of ways to maintain interest and provide challenges.</w:t>
            </w:r>
          </w:p>
          <w:p w:rsidR="00F92083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Draw attention to things in different areas that stimulate interest, such as a patterned surface.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AB172E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Technology</w:t>
            </w:r>
          </w:p>
          <w:p w:rsidR="00AB172E" w:rsidRPr="00AB172E" w:rsidRDefault="00AB172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See Characteristics of Effective Learning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 xml:space="preserve">- Playing and Exploring </w:t>
            </w:r>
            <w:r w:rsidRPr="00AB172E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and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Creating and Thinking Critically</w:t>
            </w:r>
          </w:p>
          <w:p w:rsidR="00BE6992" w:rsidRPr="00AB172E" w:rsidRDefault="00BE6992" w:rsidP="00F9208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AB172E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shd w:val="clear" w:color="auto" w:fill="E5B8B7" w:themeFill="accent2" w:themeFillTint="66"/>
          </w:tcPr>
          <w:p w:rsidR="00075365" w:rsidRPr="00AB172E" w:rsidRDefault="00075365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BE6992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Expressive arts and design</w:t>
            </w:r>
          </w:p>
          <w:p w:rsidR="00BE6992" w:rsidRPr="00AB172E" w:rsidRDefault="00BE6992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AB172E" w:rsidRDefault="00BE6992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Exploring and using media and materials</w:t>
            </w:r>
          </w:p>
          <w:p w:rsidR="00AB172E" w:rsidRPr="00AB172E" w:rsidRDefault="00AB172E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babies to join in tapping and clapping along to simple rhythms.</w:t>
            </w: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Notice the different ways babies move in response to sounds, e.g. patting the floor when on their tummy, flexing and relaxing their legs, or opening and closing their palms.</w:t>
            </w:r>
          </w:p>
          <w:p w:rsidR="00183D0A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• Encourage babies to make marks and to squeeze and feel media such as paint, gloop (cornflour and water), dough and bubbles.</w:t>
            </w:r>
          </w:p>
          <w:p w:rsidR="00AB172E" w:rsidRPr="00AB172E" w:rsidRDefault="00AB172E" w:rsidP="00AB172E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AB172E" w:rsidRDefault="00BE6992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/>
                <w:b/>
                <w:sz w:val="13"/>
                <w:szCs w:val="13"/>
              </w:rPr>
              <w:t>Being imaginative</w:t>
            </w:r>
          </w:p>
          <w:p w:rsidR="00AB172E" w:rsidRPr="00AB172E" w:rsidRDefault="00AB172E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B172E" w:rsidRPr="00AB172E" w:rsidRDefault="00AB172E" w:rsidP="00AB172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S</w:t>
            </w:r>
            <w:r w:rsidRPr="00AB172E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ee </w:t>
            </w: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Characteristics of Effective Learning; Communication and Language; Physical Development; Personal, Social and</w:t>
            </w:r>
          </w:p>
          <w:p w:rsidR="00075365" w:rsidRPr="00AB172E" w:rsidRDefault="00AB172E" w:rsidP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AB172E">
              <w:rPr>
                <w:rFonts w:asciiTheme="minorHAnsi" w:hAnsiTheme="minorHAnsi" w:cs="HelveticaNeue-Light"/>
                <w:sz w:val="13"/>
                <w:szCs w:val="13"/>
              </w:rPr>
              <w:t>Emotional Development</w:t>
            </w:r>
          </w:p>
        </w:tc>
      </w:tr>
    </w:tbl>
    <w:p w:rsidR="00144317" w:rsidRPr="00D96772" w:rsidRDefault="00144317">
      <w:pPr>
        <w:rPr>
          <w:sz w:val="2"/>
        </w:rPr>
      </w:pPr>
    </w:p>
    <w:sectPr w:rsidR="00144317" w:rsidRPr="00D96772" w:rsidSect="003F1499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75365"/>
    <w:rsid w:val="00144317"/>
    <w:rsid w:val="001478F6"/>
    <w:rsid w:val="00183D0A"/>
    <w:rsid w:val="001C66C2"/>
    <w:rsid w:val="0023090C"/>
    <w:rsid w:val="00241CDD"/>
    <w:rsid w:val="00246E02"/>
    <w:rsid w:val="00301478"/>
    <w:rsid w:val="003054FF"/>
    <w:rsid w:val="00362D65"/>
    <w:rsid w:val="0038273B"/>
    <w:rsid w:val="003A7BC6"/>
    <w:rsid w:val="003E2A4D"/>
    <w:rsid w:val="003F1499"/>
    <w:rsid w:val="004A7EFF"/>
    <w:rsid w:val="00517853"/>
    <w:rsid w:val="00606ACE"/>
    <w:rsid w:val="0066420A"/>
    <w:rsid w:val="00687078"/>
    <w:rsid w:val="006E572E"/>
    <w:rsid w:val="006E6BCE"/>
    <w:rsid w:val="00753196"/>
    <w:rsid w:val="00775DF1"/>
    <w:rsid w:val="00862C5F"/>
    <w:rsid w:val="00887374"/>
    <w:rsid w:val="008921A0"/>
    <w:rsid w:val="008F366F"/>
    <w:rsid w:val="00900B71"/>
    <w:rsid w:val="00A148EE"/>
    <w:rsid w:val="00A23252"/>
    <w:rsid w:val="00AB172E"/>
    <w:rsid w:val="00AC54C9"/>
    <w:rsid w:val="00B24109"/>
    <w:rsid w:val="00BE6992"/>
    <w:rsid w:val="00C33D31"/>
    <w:rsid w:val="00D37F6B"/>
    <w:rsid w:val="00D64AE5"/>
    <w:rsid w:val="00D921C9"/>
    <w:rsid w:val="00D96772"/>
    <w:rsid w:val="00DA43B8"/>
    <w:rsid w:val="00DD6D7E"/>
    <w:rsid w:val="00E2045B"/>
    <w:rsid w:val="00E73147"/>
    <w:rsid w:val="00F92083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2012-06-13T14:44:00Z</cp:lastPrinted>
  <dcterms:created xsi:type="dcterms:W3CDTF">2012-08-01T18:51:00Z</dcterms:created>
  <dcterms:modified xsi:type="dcterms:W3CDTF">2012-08-28T11:23:00Z</dcterms:modified>
</cp:coreProperties>
</file>