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817" w:type="dxa"/>
        <w:tblLook w:val="04A0"/>
      </w:tblPr>
      <w:tblGrid>
        <w:gridCol w:w="4111"/>
        <w:gridCol w:w="283"/>
        <w:gridCol w:w="709"/>
        <w:gridCol w:w="5387"/>
      </w:tblGrid>
      <w:tr w:rsidR="00D06808" w:rsidRPr="00BE6992" w:rsidTr="008B4621">
        <w:trPr>
          <w:trHeight w:val="851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6808" w:rsidRPr="00606ACE" w:rsidRDefault="00D06808" w:rsidP="00D06808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Enabling Environments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6808" w:rsidRPr="00606ACE" w:rsidRDefault="00D06808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40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60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B51CCD" w:rsidRPr="00BE6992" w:rsidTr="008B4621"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51CCD" w:rsidRPr="00D06808" w:rsidRDefault="00B51CCD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B51CCD" w:rsidRPr="00BE6992" w:rsidTr="008B4621"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301DAF" w:rsidRDefault="00301DAF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Default="00B51CCD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D06808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  <w:p w:rsidR="00301DAF" w:rsidRPr="00D06808" w:rsidRDefault="00301DAF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B51CCD" w:rsidRPr="00BE6992" w:rsidTr="008B4621"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B51CCD" w:rsidRPr="00D06808" w:rsidRDefault="00B51CCD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B51CCD" w:rsidRPr="00BE6992" w:rsidTr="008B4621">
        <w:tc>
          <w:tcPr>
            <w:tcW w:w="10490" w:type="dxa"/>
            <w:gridSpan w:val="4"/>
            <w:shd w:val="clear" w:color="auto" w:fill="FFFF00"/>
          </w:tcPr>
          <w:p w:rsidR="006E0702" w:rsidRPr="00625C32" w:rsidRDefault="006E0702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Pr="00625C32" w:rsidRDefault="00B51CCD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b/>
                <w:sz w:val="14"/>
                <w:szCs w:val="14"/>
              </w:rPr>
              <w:t>PSED</w:t>
            </w:r>
          </w:p>
          <w:p w:rsidR="00B51CCD" w:rsidRPr="00625C32" w:rsidRDefault="00B51CCD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Pr="00625C32" w:rsidRDefault="00B51CCD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b/>
                <w:sz w:val="14"/>
                <w:szCs w:val="14"/>
              </w:rPr>
              <w:t>Making relationships</w:t>
            </w:r>
          </w:p>
          <w:p w:rsidR="00B51CCD" w:rsidRPr="00625C32" w:rsidRDefault="00B51CCD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Ensure that children have opportunities over time to get to know everyone in the group, not just their special friends.</w:t>
            </w: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Ensure children have opportunities to relate to their key person, individually and in small groups.</w:t>
            </w:r>
          </w:p>
          <w:p w:rsidR="00B26B5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activities that involve turn-taking and sharing in small groups.</w:t>
            </w:r>
          </w:p>
          <w:p w:rsidR="00B26B52" w:rsidRPr="00625C32" w:rsidRDefault="00B26B52" w:rsidP="00A148E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625C32" w:rsidRPr="00625C32" w:rsidRDefault="00625C32" w:rsidP="00A148E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25C32">
              <w:rPr>
                <w:rFonts w:asciiTheme="minorHAnsi" w:hAnsiTheme="minorHAnsi"/>
                <w:b/>
                <w:sz w:val="14"/>
                <w:szCs w:val="14"/>
              </w:rPr>
              <w:t>Self-confidence and self-awareness</w:t>
            </w:r>
          </w:p>
          <w:p w:rsidR="00B51CCD" w:rsidRPr="00625C32" w:rsidRDefault="00B51CCD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Give time for children to pursue their learning without interruption, to complete activities to their satisfaction, and to return to activities.</w:t>
            </w: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experiences and activities that are challenging but achievable.</w:t>
            </w: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opportunities for children to reflect on successes, achievements and their own gifts and talents.</w:t>
            </w:r>
          </w:p>
          <w:p w:rsidR="006E0702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regular opportunities for children to talk to their small group about something they are interested in or have done.</w:t>
            </w:r>
          </w:p>
          <w:p w:rsidR="00B51CCD" w:rsidRPr="00625C3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Involve children in drawing or taking photographs of favourite activities or places, to help them describe their individual preferences and opinions.</w:t>
            </w:r>
          </w:p>
          <w:p w:rsidR="00625C32" w:rsidRPr="00625C32" w:rsidRDefault="00625C3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625C32" w:rsidRPr="00625C32" w:rsidRDefault="00625C32" w:rsidP="00625C3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25C32">
              <w:rPr>
                <w:rFonts w:asciiTheme="minorHAnsi" w:hAnsiTheme="minorHAnsi"/>
                <w:b/>
                <w:sz w:val="14"/>
                <w:szCs w:val="14"/>
              </w:rPr>
              <w:t>Managing feelings and behaviour</w:t>
            </w:r>
          </w:p>
          <w:p w:rsidR="00625C32" w:rsidRPr="00625C32" w:rsidRDefault="00625C32" w:rsidP="006E07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Plan small group circle times when children can explore feelings, e.g. help children to recall when they were happy, when they were excited, or when they felt lonely.</w:t>
            </w: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activities that require give and take or sharing for things to be fair.</w:t>
            </w: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Use Persona Dolls to support children in considering fair ways to share and get on with each other.</w:t>
            </w: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Involve children in agreeing codes of behaviour and taking responsibility for implementing them.</w:t>
            </w: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Provide books with stories about characters that follow or break rules, and the effects of their behaviour on others.</w:t>
            </w:r>
          </w:p>
          <w:p w:rsidR="00625C32" w:rsidRPr="00625C32" w:rsidRDefault="00625C32" w:rsidP="00625C3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625C32">
              <w:rPr>
                <w:rFonts w:asciiTheme="minorHAnsi" w:hAnsiTheme="minorHAnsi" w:cs="HelveticaNeue-Light"/>
                <w:sz w:val="14"/>
                <w:szCs w:val="14"/>
              </w:rPr>
              <w:t>• Carefully prepare children with SEN, such as those with autistic spectrum disorder, for any changes to their routine.</w:t>
            </w:r>
          </w:p>
          <w:p w:rsidR="00B26B52" w:rsidRPr="00625C32" w:rsidRDefault="00B26B52" w:rsidP="00B26B5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51CCD" w:rsidRPr="00BE6992" w:rsidTr="006E0702">
        <w:trPr>
          <w:trHeight w:val="246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B51CCD" w:rsidRPr="00D06808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B51CCD" w:rsidRPr="00D06808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096" w:type="dxa"/>
            <w:gridSpan w:val="2"/>
            <w:tcBorders>
              <w:left w:val="nil"/>
              <w:right w:val="nil"/>
            </w:tcBorders>
          </w:tcPr>
          <w:p w:rsidR="00B51CCD" w:rsidRPr="00D06808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51CCD" w:rsidRPr="00BE6992" w:rsidTr="006E0702">
        <w:tc>
          <w:tcPr>
            <w:tcW w:w="4111" w:type="dxa"/>
            <w:shd w:val="clear" w:color="auto" w:fill="CCC0D9" w:themeFill="accent4" w:themeFillTint="66"/>
          </w:tcPr>
          <w:p w:rsidR="006E0702" w:rsidRDefault="006E070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Physical Development</w:t>
            </w: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Moving and handling</w:t>
            </w:r>
          </w:p>
          <w:p w:rsidR="00B51CCD" w:rsidRPr="006E0702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time and space to enjoy energetic play daily.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large portable equipment that children can move about safely and cooperatively to create their own structures, such as milk crates, tyres, large cardboard tubes.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Practise movement skills through games with beanbags, cones, balls and hoops.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Plan activities where children can practise moving in different ways and at different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speeds, balancing, target throwing, rolling, kicking and catching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sufficient equipment for children to share, so that waiting to take turns does not spoil enjoyment.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Mark out boundaries for some activities, such as games involving wheeled toys or balls, so that children can more easily regulate their own activities.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activities that give children the opportunity and motivation to practise manipulative skills, e.g. cooking, painting, clay and playing instruments.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play resources including smallworld toys, construction sets, threading and posting toys, dolls’ clothes and material for collage.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Teach children skills of how to use tools and materials effectively and safely and give them opportunities to practise them.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a range of left-handed tools, especially left-handed scissors, as needed.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Support children with physical difficulties with nonslip mats, small trays for equipment, and triangular or thicker writing tools.</w:t>
            </w:r>
          </w:p>
          <w:p w:rsidR="00B26B5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a range of construction toys of different sizes, made of wood, rubber or plastic, that fix together in a variety of ways, e.g. by twisting, pushing, slotting or magnetism.</w:t>
            </w:r>
          </w:p>
          <w:p w:rsidR="006E0702" w:rsidRPr="006E0702" w:rsidRDefault="006E070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51CCD" w:rsidRPr="006E0702" w:rsidRDefault="00B51CCD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Health and self-care</w:t>
            </w:r>
          </w:p>
          <w:p w:rsidR="00B51CCD" w:rsidRPr="006E0702" w:rsidRDefault="00B51CCD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Plan opportunities, particularly after exercise, for children to talk about how their bodies feel.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Find ways to involve children so that they are all able to be active in ways that interest them and match their health and ability.</w:t>
            </w:r>
          </w:p>
          <w:p w:rsidR="00B51CCD" w:rsidRPr="006E0702" w:rsidRDefault="00B51CCD" w:rsidP="00B26B5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51CCD" w:rsidRPr="006E0702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096" w:type="dxa"/>
            <w:gridSpan w:val="2"/>
            <w:shd w:val="clear" w:color="auto" w:fill="DAEEF3" w:themeFill="accent5" w:themeFillTint="33"/>
          </w:tcPr>
          <w:p w:rsidR="006E0702" w:rsidRDefault="006E070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Communication and language</w:t>
            </w: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Listening and attention</w:t>
            </w:r>
          </w:p>
          <w:p w:rsidR="00B51CCD" w:rsidRPr="006E0702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• When making up alliterative </w:t>
            </w:r>
            <w:proofErr w:type="gramStart"/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jingles,</w:t>
            </w:r>
            <w:proofErr w:type="gramEnd"/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 draw attention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the similarities in sounds at the beginning of words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and emphasise the initial sound, e.g. </w:t>
            </w:r>
            <w:r w:rsidRPr="006E070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“mmmmummy”,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“shshshshadow”, “K-K-K-KKaty”.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Plan activities listening carefully to different speech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sounds, e.g. a sound chain copying the voice sound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around the circle, or identifying other children’s voices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on tape.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Help children be aware of different voice sounds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using a mirror to see what their mouth and tongue do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as they make different sounds.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When singing or saying rhymes, talk about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similarities in the rhy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ming words. Make up alternative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endings and encourage children to supply the last word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of the second line, e.g. </w:t>
            </w:r>
            <w:r w:rsidRPr="006E070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‘Hickory Dickory boot, The</w:t>
            </w:r>
            <w:r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mouse ran down the...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Set up a listening area where children can enjoy rhymes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and stories.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Choose stories with repeated refrains, dances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action songs involving looking and pointing, and songs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that require replies and turn-taking such as ‘Tommy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Thumb’.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Plan regular short periods when individuals listen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to others, such as 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inging a short song, sharing an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experience or describing something they have seen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or done.</w:t>
            </w:r>
          </w:p>
          <w:p w:rsidR="00B26B5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Use sand timers to help extend concentration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children who find it difficult to focus their attention 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 task.</w:t>
            </w:r>
          </w:p>
          <w:p w:rsidR="00B26B52" w:rsidRPr="006E0702" w:rsidRDefault="00B26B5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Understanding</w:t>
            </w:r>
          </w:p>
          <w:p w:rsidR="00B51CCD" w:rsidRPr="006E0702" w:rsidRDefault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Set up displays that remind children of what they have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experienced, using objects, artefacts, photographs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books.</w:t>
            </w:r>
          </w:p>
          <w:p w:rsidR="00B26B5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for, initiate and join in imaginative play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role-play, encouraging children to talk about what is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happening and to act out the scenarios in character.</w:t>
            </w:r>
          </w:p>
          <w:p w:rsidR="00B26B52" w:rsidRPr="006E0702" w:rsidRDefault="00B26B52" w:rsidP="0037253C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6E0702" w:rsidRDefault="00B51CCD" w:rsidP="0037253C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6E0702">
              <w:rPr>
                <w:rFonts w:asciiTheme="minorHAnsi" w:hAnsiTheme="minorHAnsi"/>
                <w:b/>
                <w:sz w:val="14"/>
                <w:szCs w:val="14"/>
              </w:rPr>
              <w:t>Speaking</w:t>
            </w:r>
          </w:p>
          <w:p w:rsidR="00B51CCD" w:rsidRPr="006E0702" w:rsidRDefault="00B51CCD" w:rsidP="0037253C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Give time for children to initiate discussions from shared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experiences and have conversations with each other.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Give thinking time for children to decide what they want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to say and how they will say it.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Set up collaborative tasks, for example, construction,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food activities or story-making through role-play.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Help children to talk about and plan how they will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begin, what parts each will play and what materials they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will need.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Decide on the key vocabulary linked to activities,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ensure that all staff regularly </w:t>
            </w:r>
            <w:proofErr w:type="gramStart"/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model</w:t>
            </w:r>
            <w:proofErr w:type="gramEnd"/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 xml:space="preserve"> its use in a range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contexts.</w:t>
            </w:r>
          </w:p>
          <w:p w:rsidR="006E0702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opportunities for talking for a wide range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of purposes, e.g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. to present ideas to others as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descriptions, explanations, instructions or justifications,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and to discuss and plan individual or shared activities.</w:t>
            </w:r>
          </w:p>
          <w:p w:rsidR="00B51CCD" w:rsidRPr="006E0702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• Provide opportunities for children to participate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meaningful speakin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g and listening activities. For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example, children can take models that they have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made to show children in another group or cla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ss and </w:t>
            </w:r>
            <w:r w:rsidRPr="006E0702">
              <w:rPr>
                <w:rFonts w:asciiTheme="minorHAnsi" w:hAnsiTheme="minorHAnsi" w:cs="HelveticaNeue-Light"/>
                <w:sz w:val="14"/>
                <w:szCs w:val="14"/>
              </w:rPr>
              <w:t>explain how they were made.</w:t>
            </w:r>
          </w:p>
          <w:p w:rsidR="00B26B52" w:rsidRPr="006E0702" w:rsidRDefault="00B26B52" w:rsidP="0037253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</w:tbl>
    <w:p w:rsidR="00B51CCD" w:rsidRDefault="00B51CCD">
      <w:pPr>
        <w:rPr>
          <w:sz w:val="2"/>
        </w:rPr>
      </w:pPr>
      <w:r>
        <w:rPr>
          <w:sz w:val="2"/>
        </w:rPr>
        <w:br w:type="page"/>
      </w:r>
    </w:p>
    <w:tbl>
      <w:tblPr>
        <w:tblStyle w:val="TableGrid"/>
        <w:tblW w:w="10631" w:type="dxa"/>
        <w:tblInd w:w="392" w:type="dxa"/>
        <w:tblLook w:val="04A0"/>
      </w:tblPr>
      <w:tblGrid>
        <w:gridCol w:w="4394"/>
        <w:gridCol w:w="284"/>
        <w:gridCol w:w="1275"/>
        <w:gridCol w:w="284"/>
        <w:gridCol w:w="4394"/>
      </w:tblGrid>
      <w:tr w:rsidR="00B51CCD" w:rsidRPr="00D06808" w:rsidTr="00BD05E7">
        <w:tc>
          <w:tcPr>
            <w:tcW w:w="10631" w:type="dxa"/>
            <w:gridSpan w:val="5"/>
            <w:shd w:val="clear" w:color="auto" w:fill="D9D9D9" w:themeFill="background1" w:themeFillShade="D9"/>
            <w:vAlign w:val="center"/>
          </w:tcPr>
          <w:p w:rsidR="00184B76" w:rsidRDefault="00184B76" w:rsidP="00301DA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301DAF" w:rsidRDefault="00184B76" w:rsidP="00301DA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S</w:t>
            </w:r>
            <w:r w:rsidR="00B51CCD" w:rsidRPr="00D06808">
              <w:rPr>
                <w:rFonts w:asciiTheme="minorHAnsi" w:hAnsiTheme="minorHAnsi"/>
                <w:b/>
                <w:sz w:val="14"/>
                <w:szCs w:val="14"/>
              </w:rPr>
              <w:t>PECIFIC AREAS</w:t>
            </w:r>
          </w:p>
          <w:p w:rsidR="00184B76" w:rsidRPr="00D06808" w:rsidRDefault="00184B76" w:rsidP="00301DA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D06808" w:rsidRPr="00D06808" w:rsidTr="00184B76">
        <w:trPr>
          <w:trHeight w:val="261"/>
        </w:trPr>
        <w:tc>
          <w:tcPr>
            <w:tcW w:w="10631" w:type="dxa"/>
            <w:gridSpan w:val="5"/>
            <w:tcBorders>
              <w:left w:val="nil"/>
              <w:bottom w:val="nil"/>
              <w:right w:val="nil"/>
            </w:tcBorders>
          </w:tcPr>
          <w:p w:rsidR="00D06808" w:rsidRPr="00D06808" w:rsidRDefault="00D06808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51CCD" w:rsidRPr="00D06808" w:rsidTr="00184B76">
        <w:tc>
          <w:tcPr>
            <w:tcW w:w="4394" w:type="dxa"/>
            <w:shd w:val="clear" w:color="auto" w:fill="FBD4B4" w:themeFill="accent6" w:themeFillTint="66"/>
          </w:tcPr>
          <w:p w:rsidR="00184B76" w:rsidRDefault="00184B76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b/>
                <w:sz w:val="14"/>
                <w:szCs w:val="14"/>
              </w:rPr>
              <w:t>Literacy</w:t>
            </w:r>
          </w:p>
          <w:p w:rsidR="00B51CCD" w:rsidRPr="00184B76" w:rsidRDefault="00B51CCD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autoSpaceDE w:val="0"/>
              <w:autoSpaceDN w:val="0"/>
              <w:adjustRightInd w:val="0"/>
              <w:ind w:left="750" w:hanging="75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b/>
                <w:sz w:val="14"/>
                <w:szCs w:val="14"/>
              </w:rPr>
              <w:t>Reading</w:t>
            </w:r>
          </w:p>
          <w:p w:rsidR="00B51CCD" w:rsidRPr="00184B76" w:rsidRDefault="00B51CCD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Encourage children to add to their first-hand experience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proofErr w:type="gramStart"/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of</w:t>
            </w:r>
            <w:proofErr w:type="gramEnd"/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 the world through the u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se of books, other texts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and information, an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d information and communication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technology (ICT).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Help children to identify the main events in a story and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enact stories, as the basis for further imaginative play.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story boards and props which support children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talk about a story’s characters and sequence of events.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When children are ready (usually, but not always, by the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age of five) provide regular systematic synthetic phonics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sessions. These should be multisensory in order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capture their interests, sustain motivation and reinforce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learning.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Demonstrate using phonics as the prime approach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decode words while children can see the text, e.g. using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big books.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varied texts and encourage children to use all their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skills including their phonic knowledge to decode words.</w:t>
            </w:r>
          </w:p>
          <w:p w:rsidR="00B26B52" w:rsidRPr="00184B76" w:rsidRDefault="006E0702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some simple texts which children can decode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give them confidence and to practise their developing skills.</w:t>
            </w:r>
          </w:p>
          <w:p w:rsidR="00B26B52" w:rsidRPr="00184B76" w:rsidRDefault="00B26B52" w:rsidP="00B51CCD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b/>
                <w:sz w:val="14"/>
                <w:szCs w:val="14"/>
              </w:rPr>
              <w:t>Writing</w:t>
            </w:r>
          </w:p>
          <w:p w:rsidR="00B51CCD" w:rsidRPr="00184B76" w:rsidRDefault="00B51CCD" w:rsidP="00B51CCD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word banks and writing resources for both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indoor and outdoor play.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range of opportunities to write for different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purposes about things that interest children.</w:t>
            </w:r>
          </w:p>
          <w:p w:rsid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Resource role-play areas with listening and writing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equipment Ensure that role-play areas encourage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writing of signs with a real purpose, e.g. a pet shop.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Plan fun activities and games that help children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create rhyming strings of real and imaginary words,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e.g. </w:t>
            </w:r>
            <w:r w:rsidR="00184B76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Maddie, daddy, baddie, </w:t>
            </w:r>
            <w:r w:rsidRPr="00184B76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laddie.</w:t>
            </w:r>
          </w:p>
          <w:p w:rsidR="006E0702" w:rsidRPr="00184B76" w:rsidRDefault="006E0702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When children are ready (usually, but not always, by the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age of five) provide regular systematic synthetic phonics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sessions. These should be multisensory in order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capture their interests, sustain motivation and reinforce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learning.</w:t>
            </w:r>
          </w:p>
          <w:p w:rsidR="00B51CCD" w:rsidRPr="00184B76" w:rsidRDefault="00B51CCD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53" w:type="dxa"/>
            <w:gridSpan w:val="3"/>
            <w:shd w:val="clear" w:color="auto" w:fill="EEECE1" w:themeFill="background2"/>
          </w:tcPr>
          <w:p w:rsidR="00184B76" w:rsidRDefault="00184B76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Mathematics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Numbers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collections of interesting things for children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sort, order, count and label in their play.</w:t>
            </w:r>
          </w:p>
          <w:p w:rsid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Display numerals in purposeful contexts, e.g. a sign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showing how man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y children can play on a number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track.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Use tactile numeral cards made from sandpaper, velvet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or string.</w:t>
            </w:r>
          </w:p>
          <w:p w:rsidR="00B51CCD" w:rsidRPr="00184B76" w:rsidRDefault="006E0702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Create opportunities for children to experiment with a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number of objects, the written numeral and the written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number word. Develop this through matching activities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with a range of numbers, numerals and a selection of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objects.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Use a 100 square to show number patterns.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Encourage children to count the things they see and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talk about and use numbers beyond ten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Make number games readily available and teach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children how to use them.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Display interesting books about number.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Play games such as hide and seek that involve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counting.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Encourage children to record what they have done, e.g.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by drawing or tallying.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Use number staircases to show a starting point and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how you arrive at 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another point when something is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added or taken away.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wide range of number resources and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encourage children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be creative in identifying and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devising problems and solutions in all areas of learning.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Make number lines available for reference and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encourage children to use them in their own play.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Big number lines may be more appropriate than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counters for children with physical impairments.</w:t>
            </w:r>
          </w:p>
          <w:p w:rsidR="006E0702" w:rsidRPr="00184B76" w:rsidRDefault="006E0702" w:rsidP="00184B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Help children to understand that five fingers on each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hand make a total of ten fingers altogether, or that two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rows of three eggs in the box make six eggs altogether.</w:t>
            </w:r>
          </w:p>
          <w:p w:rsidR="00B26B52" w:rsidRPr="00184B76" w:rsidRDefault="00B26B52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Shape, space and measures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Make books about shape, time and measure: shapes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found in the environment; long and short things; things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of a specific length; and ones about patterns, or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comparing things that are heavier or lighter.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Have areas where children can explore the properties of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objects and where they can weigh and measure, such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as a cookery station or a building area.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Plan opportunities for children to describe and compare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shapes, measures and distance.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materials and resources for children to observe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and describe pat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terns in the indoor and outdoor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environment and in daily routines.</w:t>
            </w:r>
          </w:p>
          <w:p w:rsidR="00B51CCD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Bold"/>
                <w:b/>
                <w:bCs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range of natural materials for children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arrange, compare and order.</w:t>
            </w:r>
          </w:p>
          <w:p w:rsidR="00B26B52" w:rsidRPr="00184B76" w:rsidRDefault="00B26B52" w:rsidP="00B51CCD">
            <w:pPr>
              <w:autoSpaceDE w:val="0"/>
              <w:autoSpaceDN w:val="0"/>
              <w:adjustRightInd w:val="0"/>
              <w:rPr>
                <w:rFonts w:asciiTheme="minorHAnsi" w:hAnsiTheme="minorHAnsi" w:cs="HelveticaNeue-Bold"/>
                <w:b/>
                <w:bCs/>
                <w:sz w:val="14"/>
                <w:szCs w:val="14"/>
              </w:rPr>
            </w:pPr>
          </w:p>
        </w:tc>
      </w:tr>
      <w:tr w:rsidR="00D06808" w:rsidRPr="00D06808" w:rsidTr="00BD05E7">
        <w:trPr>
          <w:trHeight w:val="241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808" w:rsidRPr="00184B76" w:rsidRDefault="00D06808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06808" w:rsidRPr="00D06808" w:rsidTr="00BD05E7">
        <w:tc>
          <w:tcPr>
            <w:tcW w:w="5953" w:type="dxa"/>
            <w:gridSpan w:val="3"/>
            <w:shd w:val="clear" w:color="auto" w:fill="D6E3BC" w:themeFill="accent3" w:themeFillTint="66"/>
          </w:tcPr>
          <w:p w:rsidR="00184B76" w:rsidRDefault="00184B76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Understanding the world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People and communities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Plan extra time for helping children in transition, such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as when they move from one setting to another or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between different groups in the same setting.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activities and opportunities for children to share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experiences and knowledge from different parts of their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lives with each other.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ways of preserving memories of special events,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e.g. making a book, collecting photographs, tape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recording, drawing and writing.</w:t>
            </w:r>
          </w:p>
          <w:p w:rsid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Invite children and families with experiences of living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in other countries to bring in photographs and objects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from their home cultures including those from family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members living in different areas of the UK and abroad.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Ensure the use of modern photographs of parts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of the world that are commonly stereotyped and</w:t>
            </w:r>
          </w:p>
          <w:p w:rsid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misrepresented,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Help children to learn positive attitudes and challenge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negative attitudes and stereotypes, e.g. using puppets,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Persona Dolls, stories and books showing black heroes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or disabled kings or queens or families with same sex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parents, having a visit from a male midwife or female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fire fighter.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Visit different parts of the local community,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including areas 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where some children may be very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knowledgeable, e.g. Chinese supermarket, local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church, </w:t>
            </w:r>
            <w:proofErr w:type="gramStart"/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elders</w:t>
            </w:r>
            <w:proofErr w:type="gramEnd"/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 lunch club, Greek café.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role-play areas with a variety of resources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reflecting diversity.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Make a display with the children, showing all the people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who make up the community of the setting.</w:t>
            </w:r>
          </w:p>
          <w:p w:rsidR="006E0702" w:rsidRPr="00184B76" w:rsidRDefault="006E0702" w:rsidP="006E0702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Share stories that reflect the diversity of children’s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experiences.</w:t>
            </w:r>
          </w:p>
          <w:p w:rsidR="00B51CCD" w:rsidRPr="00184B76" w:rsidRDefault="006E0702" w:rsidP="00184B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Invite people from a range of cultural backgrounds to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talk about aspects of their lives or the things they do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in their work, such as a volunteer who helps people</w:t>
            </w:r>
            <w:r w:rsidR="00184B76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become familiar with the local area.</w:t>
            </w:r>
          </w:p>
          <w:p w:rsidR="00B26B52" w:rsidRPr="00184B76" w:rsidRDefault="00B26B52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The world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Give opportunities to record findings by, e.g. drawing,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writing, making a model or photographing.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stories that help children to make sense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different environments.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stimuli and resources for children to create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simple maps and plans, paintings, drawings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models of observations of known and imaginary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landscapes.</w:t>
            </w:r>
          </w:p>
          <w:p w:rsidR="00B51CCD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Give opportunities to design practical, attractive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environments, 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for example, taking care of the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flowerbeds or organising equipment outdoors.</w:t>
            </w:r>
          </w:p>
          <w:p w:rsidR="00B26B52" w:rsidRPr="00184B76" w:rsidRDefault="00B26B52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Technology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range of materials and objects to play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that work in different ways for different purposes,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for example, egg whisk, torch, other household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implements, pulleys, construction kits and tape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recorder.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range of programmable toys, as well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equipment involving ICT, such as computers.</w:t>
            </w:r>
          </w:p>
          <w:p w:rsidR="00D06808" w:rsidRPr="00184B76" w:rsidRDefault="00D06808" w:rsidP="008B462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E5B8B7" w:themeFill="accent2" w:themeFillTint="66"/>
          </w:tcPr>
          <w:p w:rsidR="00184B76" w:rsidRDefault="00184B76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Expressive arts and design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51CCD" w:rsidRPr="00184B76" w:rsidRDefault="00B51CCD" w:rsidP="00B51CCD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Exploring and using media and materials</w:t>
            </w:r>
          </w:p>
          <w:p w:rsidR="00B51CCD" w:rsidRPr="00184B76" w:rsidRDefault="00B51CCD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resources for mixing colours, joining things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together and combining materials, demonstrating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where appropriate.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children with opportunities to use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skills and explore concepts and ideas through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representations.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Have a ‘holding bay’ where models and works can be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retained for a period for children to enjoy, develop, 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refer to.</w:t>
            </w:r>
          </w:p>
          <w:p w:rsidR="00B51CCD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Plan imaginative, active experiences, such as ‘Going 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 bear hunt’. Help them remember the actions of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story (We’re Going on a Bear Hunt by Michael Rosen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and Helen Oxenbury) and think about the different ways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of moving.</w:t>
            </w:r>
          </w:p>
          <w:p w:rsidR="00B26B52" w:rsidRPr="00184B76" w:rsidRDefault="00B26B52" w:rsidP="00B51CC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51CCD" w:rsidRPr="00184B76" w:rsidRDefault="00B51CCD" w:rsidP="00184B7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/>
                <w:b/>
                <w:sz w:val="14"/>
                <w:szCs w:val="14"/>
              </w:rPr>
              <w:t>Being imaginative</w:t>
            </w:r>
          </w:p>
          <w:p w:rsidR="00184B76" w:rsidRPr="00184B76" w:rsidRDefault="00184B76" w:rsidP="00184B76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Extend children’s experience and expand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imagination through the provision of pictures, paintings,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poems, music, dance and story.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a stimulus for imagination by introducing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atmospheric features in the role play area, such as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sounds of rain beating on a roof, or placing a spotlight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 xml:space="preserve">to suggest a stage 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set. Provide curtains and place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dressing-up materials and instruments close by.</w:t>
            </w:r>
          </w:p>
          <w:p w:rsid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Make materials accessible so that children are able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imagine and develop their projects and ideas while they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are still fresh in their minds and important to them.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children with opportunities to use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skills and explore concepts and ideas through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representations.</w:t>
            </w:r>
          </w:p>
          <w:p w:rsidR="00184B76" w:rsidRPr="00184B76" w:rsidRDefault="00184B76" w:rsidP="00184B7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• Provide opportunities indoors and outdoors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support the different interests of children, e.g.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in roleplay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of a builder’s yard, encourage narratives to do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184B76">
              <w:rPr>
                <w:rFonts w:asciiTheme="minorHAnsi" w:hAnsiTheme="minorHAnsi" w:cs="HelveticaNeue-Light"/>
                <w:sz w:val="14"/>
                <w:szCs w:val="14"/>
              </w:rPr>
              <w:t>building and mending.</w:t>
            </w:r>
          </w:p>
        </w:tc>
      </w:tr>
    </w:tbl>
    <w:p w:rsidR="00B51CCD" w:rsidRPr="00D96772" w:rsidRDefault="00B51CCD">
      <w:pPr>
        <w:rPr>
          <w:sz w:val="2"/>
        </w:rPr>
      </w:pPr>
    </w:p>
    <w:sectPr w:rsidR="00B51CCD" w:rsidRPr="00D96772" w:rsidSect="00184B76">
      <w:pgSz w:w="11906" w:h="16838"/>
      <w:pgMar w:top="568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131EB"/>
    <w:rsid w:val="000467C6"/>
    <w:rsid w:val="00090464"/>
    <w:rsid w:val="000D09A1"/>
    <w:rsid w:val="00136965"/>
    <w:rsid w:val="00137D6B"/>
    <w:rsid w:val="00144317"/>
    <w:rsid w:val="00184B76"/>
    <w:rsid w:val="00241CDD"/>
    <w:rsid w:val="00296992"/>
    <w:rsid w:val="002C4A84"/>
    <w:rsid w:val="002D0015"/>
    <w:rsid w:val="00301DAF"/>
    <w:rsid w:val="0037253C"/>
    <w:rsid w:val="0038273B"/>
    <w:rsid w:val="004512F4"/>
    <w:rsid w:val="004A0783"/>
    <w:rsid w:val="00521281"/>
    <w:rsid w:val="00562036"/>
    <w:rsid w:val="005E1E65"/>
    <w:rsid w:val="00606ACE"/>
    <w:rsid w:val="00625C32"/>
    <w:rsid w:val="00655B04"/>
    <w:rsid w:val="0066420A"/>
    <w:rsid w:val="006A02DD"/>
    <w:rsid w:val="006E0702"/>
    <w:rsid w:val="006E57BA"/>
    <w:rsid w:val="006E6BCE"/>
    <w:rsid w:val="00753196"/>
    <w:rsid w:val="00760F4A"/>
    <w:rsid w:val="00775D92"/>
    <w:rsid w:val="0088555A"/>
    <w:rsid w:val="00887374"/>
    <w:rsid w:val="008921A0"/>
    <w:rsid w:val="008B01EB"/>
    <w:rsid w:val="008B4621"/>
    <w:rsid w:val="008B7D8C"/>
    <w:rsid w:val="008F366F"/>
    <w:rsid w:val="00905BE2"/>
    <w:rsid w:val="00920D17"/>
    <w:rsid w:val="009318EF"/>
    <w:rsid w:val="00A069A6"/>
    <w:rsid w:val="00A148EE"/>
    <w:rsid w:val="00A23252"/>
    <w:rsid w:val="00B26B52"/>
    <w:rsid w:val="00B45166"/>
    <w:rsid w:val="00B51CCD"/>
    <w:rsid w:val="00B86CBC"/>
    <w:rsid w:val="00BD00FB"/>
    <w:rsid w:val="00BD05E7"/>
    <w:rsid w:val="00BE6992"/>
    <w:rsid w:val="00C95C29"/>
    <w:rsid w:val="00D06808"/>
    <w:rsid w:val="00D37F6B"/>
    <w:rsid w:val="00D6394F"/>
    <w:rsid w:val="00D764CE"/>
    <w:rsid w:val="00D96772"/>
    <w:rsid w:val="00E2045B"/>
    <w:rsid w:val="00E73147"/>
    <w:rsid w:val="00ED3233"/>
    <w:rsid w:val="00ED3E0D"/>
    <w:rsid w:val="00F12333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A7B2-BDD6-43EE-A927-9879D037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2012-05-10T13:46:00Z</cp:lastPrinted>
  <dcterms:created xsi:type="dcterms:W3CDTF">2012-05-22T10:04:00Z</dcterms:created>
  <dcterms:modified xsi:type="dcterms:W3CDTF">2012-08-03T12:01:00Z</dcterms:modified>
</cp:coreProperties>
</file>