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885" w:type="dxa"/>
        <w:tblLook w:val="04A0"/>
      </w:tblPr>
      <w:tblGrid>
        <w:gridCol w:w="4395"/>
        <w:gridCol w:w="284"/>
        <w:gridCol w:w="4961"/>
        <w:gridCol w:w="284"/>
        <w:gridCol w:w="2835"/>
        <w:gridCol w:w="283"/>
        <w:gridCol w:w="2977"/>
      </w:tblGrid>
      <w:tr w:rsidR="00BE6992" w:rsidRPr="00183D0A" w:rsidTr="00D773E9"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1350F" w:rsidRDefault="00517853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 w:rsidRPr="0011350F">
              <w:rPr>
                <w:rFonts w:asciiTheme="minorHAnsi" w:hAnsiTheme="minorHAnsi" w:cs="HelveticaNeue-Light"/>
                <w:b/>
                <w:sz w:val="32"/>
                <w:szCs w:val="32"/>
              </w:rPr>
              <w:t>Enabling Environments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6992" w:rsidRPr="0011350F" w:rsidRDefault="00BE6992" w:rsidP="0075319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1350F" w:rsidRDefault="00BE6992" w:rsidP="00753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1350F">
              <w:rPr>
                <w:rFonts w:asciiTheme="minorHAnsi" w:hAnsiTheme="minorHAnsi"/>
                <w:b/>
                <w:sz w:val="32"/>
                <w:szCs w:val="32"/>
              </w:rPr>
              <w:t>22-36 Months</w:t>
            </w:r>
          </w:p>
        </w:tc>
      </w:tr>
      <w:tr w:rsidR="00BE6992" w:rsidRPr="00183D0A" w:rsidTr="00D773E9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517853" w:rsidRDefault="00BE6992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992" w:rsidRPr="00183D0A" w:rsidRDefault="00BE6992" w:rsidP="0075319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183D0A" w:rsidRDefault="00BE6992" w:rsidP="0075319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38273B" w:rsidRPr="00183D0A" w:rsidTr="00D773E9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753196" w:rsidRPr="00AC54C9" w:rsidRDefault="0075319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AC54C9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3196" w:rsidRPr="00AC54C9" w:rsidRDefault="00753196" w:rsidP="0075319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:rsidR="00753196" w:rsidRPr="00AC54C9" w:rsidRDefault="00753196" w:rsidP="0075319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C54C9">
              <w:rPr>
                <w:rFonts w:asciiTheme="minorHAnsi" w:hAnsiTheme="minorHAnsi"/>
                <w:b/>
                <w:sz w:val="14"/>
                <w:szCs w:val="14"/>
              </w:rPr>
              <w:t>SPECIFIC AREAS</w:t>
            </w:r>
          </w:p>
        </w:tc>
      </w:tr>
      <w:tr w:rsidR="0038273B" w:rsidRPr="00183D0A" w:rsidTr="00D773E9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:rsidR="00753196" w:rsidRPr="00517853" w:rsidRDefault="0075319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517853" w:rsidRDefault="007531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53196" w:rsidRPr="00517853" w:rsidRDefault="007531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517853" w:rsidRDefault="007531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753196" w:rsidRPr="00517853" w:rsidRDefault="007531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06ACE" w:rsidRPr="00183D0A" w:rsidTr="00D773E9">
        <w:tc>
          <w:tcPr>
            <w:tcW w:w="9640" w:type="dxa"/>
            <w:gridSpan w:val="3"/>
            <w:shd w:val="clear" w:color="auto" w:fill="FFFF00"/>
          </w:tcPr>
          <w:p w:rsidR="00003F45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A148EE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PSED</w:t>
            </w: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Making Relationship s</w:t>
            </w: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Make time for children to be with their key person,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individually and in their key group.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Create areas in which children can sit and chat with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friends, such as a snug den and cosy spaces.</w:t>
            </w:r>
          </w:p>
          <w:p w:rsidR="00861071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Provide resources that promote cooperation between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two children such as a big ball to roll or throw to each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other.</w:t>
            </w:r>
          </w:p>
          <w:p w:rsidR="00C14566" w:rsidRPr="00D773E9" w:rsidRDefault="00C14566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Self-confidence and self-awareness</w:t>
            </w: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Discuss with staff and parents how each child responds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to activities, adults and their peers.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Build on this to plan future activities and experiences for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each child.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As children differ in their degree of self-assurance, plan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to convey to each child that you appreciate them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their efforts.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Consult with parents about children’s varying levels of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confidence in different situations.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Record individual achievements which reflect significant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progress for every child.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Seek and exchange information with parents about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young children’s concerns, so that they can be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reassured if they feel uncertain.</w:t>
            </w:r>
          </w:p>
          <w:p w:rsidR="00C14566" w:rsidRPr="00C14566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Vary activities so that children are introduced to different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materials.</w:t>
            </w:r>
          </w:p>
          <w:p w:rsidR="00517853" w:rsidRDefault="00C14566" w:rsidP="00C1456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• Make materials easily accessible at child height, to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C14566">
              <w:rPr>
                <w:rFonts w:asciiTheme="minorHAnsi" w:hAnsiTheme="minorHAnsi" w:cs="HelveticaNeue-Light"/>
                <w:sz w:val="12"/>
                <w:szCs w:val="12"/>
              </w:rPr>
              <w:t>ensure everybody can make choices.</w:t>
            </w:r>
          </w:p>
          <w:p w:rsidR="00861071" w:rsidRPr="00D773E9" w:rsidRDefault="00861071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Managing feelings</w:t>
            </w:r>
          </w:p>
          <w:p w:rsidR="00C14566" w:rsidRDefault="00C14566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Have agreed procedures outlining how to respond to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changes in children’s behaviour.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Share policies and practice with parents, ensuring an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accurate two-way exchange of information through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an interpreter or through translated materials, where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necessary.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Provide areas to mirror different moods and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feelings- quiet restful areas as well as areas for active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exploration.</w:t>
            </w:r>
          </w:p>
          <w:p w:rsidR="00517853" w:rsidRPr="00D773E9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Provide books, stories, puppets that can be used to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model responding to others’ feelings and being helpful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and supportive to them.</w:t>
            </w:r>
          </w:p>
          <w:p w:rsidR="00517853" w:rsidRPr="00D773E9" w:rsidRDefault="00517853" w:rsidP="008610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6A495D" w:rsidRDefault="006A495D" w:rsidP="00183D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Literacy</w:t>
            </w: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Reading</w:t>
            </w: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74C79" w:rsidRPr="00074C79" w:rsidRDefault="00074C79" w:rsidP="00074C79">
            <w:pPr>
              <w:rPr>
                <w:rFonts w:asciiTheme="minorHAnsi" w:hAnsiTheme="minorHAnsi" w:cs="HelveticaNeue-Light"/>
                <w:sz w:val="12"/>
                <w:szCs w:val="12"/>
              </w:rPr>
            </w:pP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• Create an attractive book area where children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adults can enjoy books together.</w:t>
            </w:r>
          </w:p>
          <w:p w:rsidR="00074C79" w:rsidRPr="00074C79" w:rsidRDefault="00074C79" w:rsidP="00074C79">
            <w:pPr>
              <w:rPr>
                <w:rFonts w:asciiTheme="minorHAnsi" w:hAnsiTheme="minorHAnsi" w:cs="HelveticaNeue-Light"/>
                <w:sz w:val="12"/>
                <w:szCs w:val="12"/>
              </w:rPr>
            </w:pP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• Find opportunities to tell and read stories to children,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using puppets, soft toys, or real objects as props.</w:t>
            </w:r>
          </w:p>
          <w:p w:rsidR="00AC54C9" w:rsidRDefault="00074C79" w:rsidP="00074C79">
            <w:pPr>
              <w:rPr>
                <w:rFonts w:asciiTheme="minorHAnsi" w:hAnsiTheme="minorHAnsi" w:cs="HelveticaNeue-Light"/>
                <w:sz w:val="12"/>
                <w:szCs w:val="12"/>
              </w:rPr>
            </w:pP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• Provide stories, pictures and puppets which allow</w:t>
            </w:r>
            <w:r w:rsidR="006A495D"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children to experience and talk about how characters</w:t>
            </w:r>
            <w:r w:rsidR="006A495D"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74C79">
              <w:rPr>
                <w:rFonts w:asciiTheme="minorHAnsi" w:hAnsiTheme="minorHAnsi" w:cs="HelveticaNeue-Light"/>
                <w:sz w:val="12"/>
                <w:szCs w:val="12"/>
              </w:rPr>
              <w:t>feel.</w:t>
            </w:r>
          </w:p>
          <w:p w:rsidR="00861071" w:rsidRPr="00D773E9" w:rsidRDefault="00861071" w:rsidP="00183D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Writing</w:t>
            </w:r>
          </w:p>
          <w:p w:rsidR="00AC54C9" w:rsidRPr="00D773E9" w:rsidRDefault="00AC54C9" w:rsidP="00183D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6A495D" w:rsidRPr="006A495D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Draw attention to marks, signs and symbols in the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environment and talk about what they represent.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Ensure this involves recognition of English and other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relevant scripts.</w:t>
            </w:r>
          </w:p>
          <w:p w:rsidR="00AC54C9" w:rsidRPr="00D773E9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Provide materials which reflect a cultural spread, so that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children see symbols and marks with which they are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familiar, e.g. Chinese script on a shopping bag.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6A495D" w:rsidRDefault="006A495D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Mathematics</w:t>
            </w: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Numbers</w:t>
            </w: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Make a display with the children about their favourite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things. Talk about how many like apples, or which of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them watches a particular TV programme at home.</w:t>
            </w: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Provide props for children to act out counting songs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and rhymes.</w:t>
            </w: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Provide games and equipment that offer opportunities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for counting, such as skittles.</w:t>
            </w:r>
          </w:p>
          <w:p w:rsidR="00AC54C9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Plan to incorporate a mathematical component in areas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such as the sand, water or other play areas.</w:t>
            </w:r>
          </w:p>
          <w:p w:rsidR="00861071" w:rsidRPr="00D773E9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Shape, space and measures</w:t>
            </w: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Collect pictures that illustrate the use of shapes and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patterns from a variety of cultures, e.g. Arabic designs.</w:t>
            </w: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Provide opportunities for children to measure time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(sand timer), weight (balances) and length (standard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and non-standard units).</w:t>
            </w: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Vary the volume and capacity equipment in the sand,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water and other play areas to maintain interest.</w:t>
            </w:r>
          </w:p>
          <w:p w:rsidR="00AC54C9" w:rsidRPr="00D773E9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Use coins for sorting on play trays and into bags,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purses and containers.</w:t>
            </w:r>
          </w:p>
        </w:tc>
      </w:tr>
      <w:tr w:rsidR="00606ACE" w:rsidRPr="00183D0A" w:rsidTr="006A495D">
        <w:trPr>
          <w:trHeight w:val="248"/>
        </w:trPr>
        <w:tc>
          <w:tcPr>
            <w:tcW w:w="4395" w:type="dxa"/>
            <w:tcBorders>
              <w:left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517853" w:rsidRPr="00183D0A" w:rsidTr="00003F45">
        <w:tc>
          <w:tcPr>
            <w:tcW w:w="4395" w:type="dxa"/>
            <w:shd w:val="clear" w:color="auto" w:fill="CCC0D9" w:themeFill="accent4" w:themeFillTint="66"/>
          </w:tcPr>
          <w:p w:rsidR="00003F45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Physical development</w:t>
            </w: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Moving and handling</w:t>
            </w:r>
          </w:p>
          <w:p w:rsidR="00517853" w:rsidRPr="00D773E9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Plan opportunities for children to tackle a range of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levels and surfaces including flat and hilly ground,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grass, pebbles, asphalt, smooth floors and carpets.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a range of large play equipment that can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be used in different ways, such as boxes, ladders,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A-frames and barrels.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Plan time for children to experiment with equipment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and to practise movements they choose.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safe spaces and explain safety to children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parents.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real and role-play opportunities for children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to create pathways, e.g. road layouts, or going on a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picnic.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CD and tape players, scarves, streamers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musical instruments so that children can respond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spontaneously to music.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Plan activities that involve moving and stopping, such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as musical bumps.</w:t>
            </w:r>
          </w:p>
          <w:p w:rsidR="00517853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‘tool boxes’ containing things that make marks,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so that children can explore their use both indoors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outdoors.</w:t>
            </w:r>
          </w:p>
          <w:p w:rsidR="00861071" w:rsidRPr="00D773E9" w:rsidRDefault="00861071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Health and self-care</w:t>
            </w:r>
          </w:p>
          <w:p w:rsidR="00003F45" w:rsidRPr="00D773E9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Allow children to pour their own drinks, serve their own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food, choose a story, hold a puppet or water a plant.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Offer choices for children in terms of potties, trainer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seats or steps.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Create opportunities for moving towards independence,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e.g. have hand-washing facilities safely within reach.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Provide pictures or objects representing options to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support children in making and expressing choices.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Choose some stories that highlight the consequences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of choices.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Ensure children’s safety, while not unduly inhibiting their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risk-taking.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Display a colourful daily menu showing healthy meals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and snacks and discuss choices with the children,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reminding them, e.g. that they tried something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previously and might like to try it again or encouraging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them to try something new.</w:t>
            </w:r>
          </w:p>
          <w:p w:rsidR="00517853" w:rsidRPr="00D773E9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Be aware of eating habits at home and of the different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ways people eat their food, e.g. that eating with clean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fingers is as skilled and equally valued as using cutlery.</w:t>
            </w:r>
          </w:p>
          <w:p w:rsidR="00517853" w:rsidRPr="00D773E9" w:rsidRDefault="00517853" w:rsidP="008610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961" w:type="dxa"/>
            <w:shd w:val="clear" w:color="auto" w:fill="DAEEF3" w:themeFill="accent5" w:themeFillTint="33"/>
          </w:tcPr>
          <w:p w:rsidR="00003F45" w:rsidRDefault="00003F45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Communication and language</w:t>
            </w: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Listening and attention</w:t>
            </w: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Encourage repetition, rhythm and rhyme by using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tone and intonation as you tell, recite or sing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stories, poems and rhymes from books.</w:t>
            </w:r>
          </w:p>
          <w:p w:rsidR="00517853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Be aware of the needs of children learning English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as an additional language from a variety of cultures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and ask parents to share their favourites from their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home languages.</w:t>
            </w:r>
          </w:p>
          <w:p w:rsidR="00861071" w:rsidRPr="00D773E9" w:rsidRDefault="00861071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Understanding</w:t>
            </w:r>
          </w:p>
          <w:p w:rsidR="00517853" w:rsidRP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i/>
                <w:iCs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Use talk to describe what children are doing by providing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 xml:space="preserve">a running commentary, e.g. </w:t>
            </w:r>
            <w:r w:rsidRPr="00003F45">
              <w:rPr>
                <w:rFonts w:asciiTheme="minorHAnsi" w:hAnsiTheme="minorHAnsi" w:cs="HelveticaNeue-Light"/>
                <w:i/>
                <w:iCs/>
                <w:sz w:val="12"/>
                <w:szCs w:val="12"/>
              </w:rPr>
              <w:t>‘Oh, I can see what you are</w:t>
            </w:r>
            <w:r>
              <w:rPr>
                <w:rFonts w:asciiTheme="minorHAnsi" w:hAnsiTheme="minorHAnsi" w:cs="HelveticaNeue-Light"/>
                <w:i/>
                <w:iCs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i/>
                <w:iCs/>
                <w:sz w:val="12"/>
                <w:szCs w:val="12"/>
              </w:rPr>
              <w:t>doing. You have to put the milk in the cup first.’</w:t>
            </w:r>
          </w:p>
          <w:p w:rsidR="00517853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• Provide opportunities for children to talk with other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children and adults about what they see, hear, think and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 w:cs="HelveticaNeue-Light"/>
                <w:sz w:val="12"/>
                <w:szCs w:val="12"/>
              </w:rPr>
              <w:t>feel.</w:t>
            </w:r>
          </w:p>
          <w:p w:rsidR="00861071" w:rsidRPr="00D773E9" w:rsidRDefault="00861071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D773E9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Speaking</w:t>
            </w:r>
          </w:p>
          <w:p w:rsidR="00003F45" w:rsidRDefault="00003F45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Wait and allow the child time to start the conversation.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Follow the child’s lead to talk about what they are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interested in.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Give children ‘thinking time’. Wait for them to think about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what they want to say and put their thoughts into words,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 xml:space="preserve">without jumping in too soon to say something </w:t>
            </w:r>
            <w:proofErr w:type="gramStart"/>
            <w:r w:rsidRPr="00003F45">
              <w:rPr>
                <w:rFonts w:asciiTheme="minorHAnsi" w:hAnsiTheme="minorHAnsi"/>
                <w:sz w:val="12"/>
                <w:szCs w:val="12"/>
              </w:rPr>
              <w:t>yourself</w:t>
            </w:r>
            <w:proofErr w:type="gramEnd"/>
            <w:r w:rsidRPr="00003F45">
              <w:rPr>
                <w:rFonts w:asciiTheme="minorHAnsi" w:hAnsiTheme="minorHAnsi"/>
                <w:sz w:val="12"/>
                <w:szCs w:val="12"/>
              </w:rPr>
              <w:t>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For children learning English as an additional language,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value non-verbal communications and those offered in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home languages.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Add words to what children say, e.g. child says ‘</w:t>
            </w:r>
            <w:r w:rsidRPr="00003F45">
              <w:rPr>
                <w:rFonts w:asciiTheme="minorHAnsi" w:hAnsiTheme="minorHAnsi"/>
                <w:i/>
                <w:iCs/>
                <w:sz w:val="12"/>
                <w:szCs w:val="12"/>
              </w:rPr>
              <w:t>Brush</w:t>
            </w:r>
            <w:r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i/>
                <w:iCs/>
                <w:sz w:val="12"/>
                <w:szCs w:val="12"/>
              </w:rPr>
              <w:t>dolly hair’, you say ‘Yes, Lucy is brushing dolly’s hair.’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Talk with children to make links between their body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 xml:space="preserve">language and words, e.g. </w:t>
            </w:r>
            <w:r w:rsidRPr="00003F45">
              <w:rPr>
                <w:rFonts w:asciiTheme="minorHAnsi" w:hAnsiTheme="minorHAnsi"/>
                <w:i/>
                <w:iCs/>
                <w:sz w:val="12"/>
                <w:szCs w:val="12"/>
              </w:rPr>
              <w:t>“Your face does look cross. Has</w:t>
            </w:r>
            <w:r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i/>
                <w:iCs/>
                <w:sz w:val="12"/>
                <w:szCs w:val="12"/>
              </w:rPr>
              <w:t>something upset you?”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Introduce new words in the context of play and activities.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Use a lot of statements and fewer questions. When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you do ask a question, use an open question with many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possible answers.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Show interest in the words children use to communicate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and describe their experiences.</w:t>
            </w:r>
          </w:p>
          <w:p w:rsidR="00003F45" w:rsidRPr="00003F45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003F45">
              <w:rPr>
                <w:rFonts w:asciiTheme="minorHAnsi" w:hAnsiTheme="minorHAnsi"/>
                <w:sz w:val="12"/>
                <w:szCs w:val="12"/>
              </w:rPr>
              <w:t>• Help children expand on what they say, introducing and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003F45">
              <w:rPr>
                <w:rFonts w:asciiTheme="minorHAnsi" w:hAnsiTheme="minorHAnsi"/>
                <w:sz w:val="12"/>
                <w:szCs w:val="12"/>
              </w:rPr>
              <w:t>reinforcing the use of more complex sentences.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6A495D" w:rsidRDefault="006A495D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D773E9">
              <w:rPr>
                <w:rFonts w:asciiTheme="minorHAnsi" w:hAnsiTheme="minorHAnsi" w:cs="HelveticaNeue-Light"/>
                <w:sz w:val="12"/>
                <w:szCs w:val="12"/>
              </w:rPr>
              <w:t>Understanding the world</w:t>
            </w: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D773E9">
              <w:rPr>
                <w:rFonts w:asciiTheme="minorHAnsi" w:hAnsiTheme="minorHAnsi" w:cs="HelveticaNeue-Light"/>
                <w:sz w:val="12"/>
                <w:szCs w:val="12"/>
              </w:rPr>
              <w:t>People and communities</w:t>
            </w: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Share photographs of children’s families, friends, pets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or favourite people.</w:t>
            </w:r>
          </w:p>
          <w:p w:rsidR="00AC54C9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Support children’s understanding of difference and of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empathy by using props such as puppets and dolls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to tell stories about diverse experiences, ensuring that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negative stereotyping is avoided.</w:t>
            </w:r>
          </w:p>
          <w:p w:rsidR="00861071" w:rsidRPr="00D773E9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AC54C9" w:rsidRPr="00D773E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D773E9">
              <w:rPr>
                <w:rFonts w:asciiTheme="minorHAnsi" w:hAnsiTheme="minorHAnsi" w:cs="HelveticaNeue-Light"/>
                <w:sz w:val="12"/>
                <w:szCs w:val="12"/>
              </w:rPr>
              <w:t>The world</w:t>
            </w:r>
          </w:p>
          <w:p w:rsidR="00AC54C9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Make use of outdoor areas to give opportunities for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investigations of the natural world, for example, provide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chimes, streamers, windmills and bubbles to investigate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the effects of wind.</w:t>
            </w:r>
          </w:p>
          <w:p w:rsidR="00861071" w:rsidRPr="00D773E9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Provide story and information books about places,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such as a zoo or the beach, to remind children of visits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to real places.</w:t>
            </w:r>
          </w:p>
          <w:p w:rsidR="00861071" w:rsidRPr="00D773E9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861071" w:rsidRDefault="00AC54C9" w:rsidP="00D773E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D773E9">
              <w:rPr>
                <w:rFonts w:asciiTheme="minorHAnsi" w:hAnsiTheme="minorHAnsi" w:cs="HelveticaNeue-Light"/>
                <w:sz w:val="12"/>
                <w:szCs w:val="12"/>
              </w:rPr>
              <w:t>Technology</w:t>
            </w:r>
          </w:p>
          <w:p w:rsidR="00861071" w:rsidRDefault="00861071" w:rsidP="00D773E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</w:p>
          <w:p w:rsidR="006A495D" w:rsidRPr="006A495D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Provide safe equipment to play with, such as torches,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transistor radios or karaoke machines.</w:t>
            </w:r>
          </w:p>
          <w:p w:rsidR="00861071" w:rsidRPr="00D773E9" w:rsidRDefault="006A495D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2"/>
                <w:szCs w:val="12"/>
              </w:rPr>
            </w:pP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• Let children use machines like the photocopier to copy</w:t>
            </w:r>
            <w:r>
              <w:rPr>
                <w:rFonts w:asciiTheme="minorHAnsi" w:hAnsiTheme="minorHAnsi" w:cs="HelveticaNeue-Light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 w:cs="HelveticaNeue-Light"/>
                <w:sz w:val="12"/>
                <w:szCs w:val="12"/>
              </w:rPr>
              <w:t>their own pictures.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D773E9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E5B8B7" w:themeFill="accent2" w:themeFillTint="66"/>
          </w:tcPr>
          <w:p w:rsidR="006A495D" w:rsidRDefault="006A495D" w:rsidP="00AC54C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C54C9" w:rsidRPr="00D773E9" w:rsidRDefault="00AC54C9" w:rsidP="00AC54C9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Expressive arts and design</w:t>
            </w:r>
          </w:p>
          <w:p w:rsidR="00AC54C9" w:rsidRPr="00D773E9" w:rsidRDefault="00AC54C9" w:rsidP="00AC54C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61071" w:rsidRDefault="00AC54C9" w:rsidP="00AC54C9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Exploring and using media and materials</w:t>
            </w:r>
          </w:p>
          <w:p w:rsidR="00861071" w:rsidRDefault="00861071" w:rsidP="00AC54C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6A495D" w:rsidRPr="006A495D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Invite dancers and musicians from theatre groups, the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locality or a nearby school so that children begin to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experience live performances.</w:t>
            </w:r>
          </w:p>
          <w:p w:rsidR="006A495D" w:rsidRPr="006A495D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Draw on a wide range of musicians and story-tellers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from a variety of cultural backgrounds to extend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children’s experiences and to reflect their cultural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heritages.</w:t>
            </w:r>
          </w:p>
          <w:p w:rsidR="00861071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Choose unusual or interesting materials and resources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that inspire exploration such as textured wall coverings,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 xml:space="preserve">raffia, </w:t>
            </w:r>
            <w:proofErr w:type="gramStart"/>
            <w:r w:rsidRPr="006A495D">
              <w:rPr>
                <w:rFonts w:asciiTheme="minorHAnsi" w:hAnsiTheme="minorHAnsi"/>
                <w:sz w:val="12"/>
                <w:szCs w:val="12"/>
              </w:rPr>
              <w:t>string</w:t>
            </w:r>
            <w:proofErr w:type="gramEnd"/>
            <w:r w:rsidRPr="006A495D">
              <w:rPr>
                <w:rFonts w:asciiTheme="minorHAnsi" w:hAnsiTheme="minorHAnsi"/>
                <w:sz w:val="12"/>
                <w:szCs w:val="12"/>
              </w:rPr>
              <w:t>, translucent paper or water-based glues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with colour added.</w:t>
            </w:r>
          </w:p>
          <w:p w:rsidR="00861071" w:rsidRPr="00D773E9" w:rsidRDefault="00861071" w:rsidP="00AC54C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C54C9" w:rsidRDefault="00AC54C9" w:rsidP="00AC54C9">
            <w:pPr>
              <w:rPr>
                <w:rFonts w:asciiTheme="minorHAnsi" w:hAnsiTheme="minorHAnsi"/>
                <w:sz w:val="12"/>
                <w:szCs w:val="12"/>
              </w:rPr>
            </w:pPr>
            <w:r w:rsidRPr="00D773E9">
              <w:rPr>
                <w:rFonts w:asciiTheme="minorHAnsi" w:hAnsiTheme="minorHAnsi"/>
                <w:sz w:val="12"/>
                <w:szCs w:val="12"/>
              </w:rPr>
              <w:t>Being imaginative</w:t>
            </w:r>
          </w:p>
          <w:p w:rsidR="00861071" w:rsidRDefault="00861071" w:rsidP="00AC54C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6A495D" w:rsidRPr="006A495D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Provide story boxes filled with interesting items to spark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children’s storytelling ideas.</w:t>
            </w:r>
          </w:p>
          <w:p w:rsidR="00861071" w:rsidRPr="00D773E9" w:rsidRDefault="006A495D" w:rsidP="006A495D">
            <w:pPr>
              <w:rPr>
                <w:rFonts w:asciiTheme="minorHAnsi" w:hAnsiTheme="minorHAnsi"/>
                <w:sz w:val="12"/>
                <w:szCs w:val="12"/>
              </w:rPr>
            </w:pPr>
            <w:r w:rsidRPr="006A495D">
              <w:rPr>
                <w:rFonts w:asciiTheme="minorHAnsi" w:hAnsiTheme="minorHAnsi"/>
                <w:sz w:val="12"/>
                <w:szCs w:val="12"/>
              </w:rPr>
              <w:t>• Offer additional resources reflecting interests such as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6A495D">
              <w:rPr>
                <w:rFonts w:asciiTheme="minorHAnsi" w:hAnsiTheme="minorHAnsi"/>
                <w:sz w:val="12"/>
                <w:szCs w:val="12"/>
              </w:rPr>
              <w:t>tunics, cloaks and bags.</w:t>
            </w:r>
          </w:p>
        </w:tc>
      </w:tr>
    </w:tbl>
    <w:p w:rsidR="00144317" w:rsidRPr="00D96772" w:rsidRDefault="00144317">
      <w:pPr>
        <w:rPr>
          <w:sz w:val="2"/>
        </w:rPr>
      </w:pPr>
      <w:bookmarkStart w:id="0" w:name="_GoBack"/>
      <w:bookmarkEnd w:id="0"/>
    </w:p>
    <w:sectPr w:rsidR="00144317" w:rsidRPr="00D96772" w:rsidSect="00CD0DEF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03F45"/>
    <w:rsid w:val="00074C79"/>
    <w:rsid w:val="0011350F"/>
    <w:rsid w:val="00144317"/>
    <w:rsid w:val="00183D0A"/>
    <w:rsid w:val="001927F2"/>
    <w:rsid w:val="00241CDD"/>
    <w:rsid w:val="00362D65"/>
    <w:rsid w:val="0038273B"/>
    <w:rsid w:val="00517853"/>
    <w:rsid w:val="00606ACE"/>
    <w:rsid w:val="0066420A"/>
    <w:rsid w:val="006A495D"/>
    <w:rsid w:val="006E6BCE"/>
    <w:rsid w:val="007229A1"/>
    <w:rsid w:val="00753196"/>
    <w:rsid w:val="00861071"/>
    <w:rsid w:val="00862C5F"/>
    <w:rsid w:val="00887374"/>
    <w:rsid w:val="008921A0"/>
    <w:rsid w:val="008F366F"/>
    <w:rsid w:val="00A148EE"/>
    <w:rsid w:val="00A23252"/>
    <w:rsid w:val="00AC54C9"/>
    <w:rsid w:val="00B24109"/>
    <w:rsid w:val="00BE6992"/>
    <w:rsid w:val="00C14566"/>
    <w:rsid w:val="00C33D31"/>
    <w:rsid w:val="00CA01F9"/>
    <w:rsid w:val="00CD0DEF"/>
    <w:rsid w:val="00D37F6B"/>
    <w:rsid w:val="00D773E9"/>
    <w:rsid w:val="00D96772"/>
    <w:rsid w:val="00DA43B8"/>
    <w:rsid w:val="00E2045B"/>
    <w:rsid w:val="00E73147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2012-05-10T13:46:00Z</cp:lastPrinted>
  <dcterms:created xsi:type="dcterms:W3CDTF">2012-05-10T14:32:00Z</dcterms:created>
  <dcterms:modified xsi:type="dcterms:W3CDTF">2012-06-13T11:28:00Z</dcterms:modified>
</cp:coreProperties>
</file>