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716E9" w14:textId="77777777" w:rsidR="00C9191C" w:rsidRDefault="00B716FF">
      <w:pPr>
        <w:rPr>
          <w:b/>
          <w:color w:val="000000" w:themeColor="text1"/>
          <w:sz w:val="28"/>
          <w:szCs w:val="28"/>
        </w:rPr>
        <w:sectPr w:rsidR="00C9191C" w:rsidSect="00C9191C">
          <w:headerReference w:type="default" r:id="rId8"/>
          <w:footerReference w:type="default" r:id="rId9"/>
          <w:pgSz w:w="16838" w:h="11906" w:orient="landscape"/>
          <w:pgMar w:top="1440" w:right="1440" w:bottom="1440" w:left="1440" w:header="708" w:footer="708" w:gutter="0"/>
          <w:cols w:space="708"/>
          <w:titlePg/>
          <w:docGrid w:linePitch="360"/>
        </w:sectPr>
      </w:pPr>
      <w:r>
        <w:rPr>
          <w:noProof/>
          <w:color w:val="000000" w:themeColor="text1"/>
          <w:lang w:eastAsia="en-GB"/>
        </w:rPr>
        <mc:AlternateContent>
          <mc:Choice Requires="wps">
            <w:drawing>
              <wp:anchor distT="0" distB="0" distL="114300" distR="114300" simplePos="0" relativeHeight="251658239" behindDoc="0" locked="0" layoutInCell="1" allowOverlap="1" wp14:anchorId="2DA35A84" wp14:editId="355CA454">
                <wp:simplePos x="0" y="0"/>
                <wp:positionH relativeFrom="column">
                  <wp:posOffset>425450</wp:posOffset>
                </wp:positionH>
                <wp:positionV relativeFrom="paragraph">
                  <wp:posOffset>4724400</wp:posOffset>
                </wp:positionV>
                <wp:extent cx="4292600" cy="374650"/>
                <wp:effectExtent l="0" t="0" r="0"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DB812" w14:textId="7DCD592B" w:rsidR="009D3C5F" w:rsidRPr="002E7D75" w:rsidRDefault="009D3C5F" w:rsidP="00A63012">
                            <w:pPr>
                              <w:spacing w:after="0" w:line="240" w:lineRule="auto"/>
                              <w:rPr>
                                <w:b/>
                                <w:sz w:val="40"/>
                                <w:szCs w:val="40"/>
                              </w:rPr>
                            </w:pPr>
                            <w:r w:rsidRPr="002E7D75">
                              <w:rPr>
                                <w:b/>
                                <w:sz w:val="40"/>
                                <w:szCs w:val="40"/>
                              </w:rPr>
                              <w:t>Phase 2 April 2020 – March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35A84" id="_x0000_t202" coordsize="21600,21600" o:spt="202" path="m,l,21600r21600,l21600,xe">
                <v:stroke joinstyle="miter"/>
                <v:path gradientshapeok="t" o:connecttype="rect"/>
              </v:shapetype>
              <v:shape id="Text Box 5" o:spid="_x0000_s1026" type="#_x0000_t202" style="position:absolute;margin-left:33.5pt;margin-top:372pt;width:338pt;height:2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" stroked="f">
                <v:textbox>
                  <w:txbxContent>
                    <w:p w14:paraId="3D2DB812" w14:textId="7DCD592B" w:rsidR="009D3C5F" w:rsidRPr="002E7D75" w:rsidRDefault="009D3C5F" w:rsidP="00A63012">
                      <w:pPr>
                        <w:spacing w:after="0" w:line="240" w:lineRule="auto"/>
                        <w:rPr>
                          <w:b/>
                          <w:sz w:val="40"/>
                          <w:szCs w:val="40"/>
                        </w:rPr>
                      </w:pPr>
                      <w:r w:rsidRPr="002E7D75">
                        <w:rPr>
                          <w:b/>
                          <w:sz w:val="40"/>
                          <w:szCs w:val="40"/>
                        </w:rPr>
                        <w:t>Phase 2 April 2020 – March 2025</w:t>
                      </w:r>
                    </w:p>
                  </w:txbxContent>
                </v:textbox>
              </v:shape>
            </w:pict>
          </mc:Fallback>
        </mc:AlternateContent>
      </w:r>
      <w:r w:rsidR="00C9191C" w:rsidRPr="00C9191C">
        <w:rPr>
          <w:b/>
          <w:noProof/>
          <w:color w:val="000000" w:themeColor="text1"/>
          <w:sz w:val="28"/>
          <w:szCs w:val="28"/>
          <w:lang w:eastAsia="en-GB"/>
        </w:rPr>
        <w:drawing>
          <wp:inline distT="0" distB="0" distL="0" distR="0" wp14:anchorId="5DD11BC5" wp14:editId="3A232D35">
            <wp:extent cx="8972550" cy="5800725"/>
            <wp:effectExtent l="19050" t="19050" r="19050" b="28575"/>
            <wp:docPr id="2"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972550" cy="5800725"/>
                    </a:xfrm>
                    <a:prstGeom prst="rect">
                      <a:avLst/>
                    </a:prstGeom>
                    <a:noFill/>
                    <a:ln w="9525">
                      <a:solidFill>
                        <a:schemeClr val="accent1"/>
                      </a:solidFill>
                      <a:miter lim="800000"/>
                      <a:headEnd/>
                      <a:tailEnd/>
                    </a:ln>
                  </pic:spPr>
                </pic:pic>
              </a:graphicData>
            </a:graphic>
          </wp:inline>
        </w:drawing>
      </w:r>
    </w:p>
    <w:p w14:paraId="5EC6D66A" w14:textId="77777777" w:rsidR="00C9191C" w:rsidRDefault="00BC3954" w:rsidP="00755A17">
      <w:pPr>
        <w:spacing w:before="80" w:afterLines="80" w:after="192"/>
        <w:rPr>
          <w:b/>
          <w:color w:val="000000" w:themeColor="text1"/>
          <w:szCs w:val="24"/>
        </w:rPr>
      </w:pPr>
      <w:r w:rsidRPr="00BC3954">
        <w:rPr>
          <w:b/>
          <w:color w:val="000000" w:themeColor="text1"/>
          <w:szCs w:val="24"/>
        </w:rPr>
        <w:lastRenderedPageBreak/>
        <w:t>Contents</w:t>
      </w:r>
    </w:p>
    <w:tbl>
      <w:tblPr>
        <w:tblStyle w:val="TableGrid"/>
        <w:tblW w:w="0" w:type="auto"/>
        <w:tblLook w:val="04A0" w:firstRow="1" w:lastRow="0" w:firstColumn="1" w:lastColumn="0" w:noHBand="0" w:noVBand="1"/>
      </w:tblPr>
      <w:tblGrid>
        <w:gridCol w:w="1701"/>
        <w:gridCol w:w="9638"/>
        <w:gridCol w:w="1701"/>
      </w:tblGrid>
      <w:tr w:rsidR="001F1E12" w14:paraId="0978C217" w14:textId="77777777" w:rsidTr="005E12E0">
        <w:trPr>
          <w:trHeight w:val="113"/>
        </w:trPr>
        <w:tc>
          <w:tcPr>
            <w:tcW w:w="1701" w:type="dxa"/>
            <w:shd w:val="clear" w:color="auto" w:fill="FBD4B4" w:themeFill="accent6" w:themeFillTint="66"/>
          </w:tcPr>
          <w:p w14:paraId="0D1C7E52" w14:textId="77777777" w:rsidR="00590EFB" w:rsidRPr="00590EFB" w:rsidRDefault="00BC3954" w:rsidP="00590EFB">
            <w:pPr>
              <w:spacing w:before="80" w:after="80"/>
              <w:jc w:val="center"/>
              <w:rPr>
                <w:rFonts w:cs="Arial"/>
                <w:b/>
                <w:color w:val="000000" w:themeColor="text1"/>
                <w:szCs w:val="24"/>
              </w:rPr>
            </w:pPr>
            <w:r w:rsidRPr="00590EFB">
              <w:rPr>
                <w:rFonts w:cs="Arial"/>
                <w:b/>
                <w:color w:val="000000" w:themeColor="text1"/>
                <w:szCs w:val="24"/>
              </w:rPr>
              <w:t>Section</w:t>
            </w:r>
          </w:p>
        </w:tc>
        <w:tc>
          <w:tcPr>
            <w:tcW w:w="9638" w:type="dxa"/>
            <w:shd w:val="clear" w:color="auto" w:fill="FBD4B4" w:themeFill="accent6" w:themeFillTint="66"/>
          </w:tcPr>
          <w:p w14:paraId="1926D327" w14:textId="77777777" w:rsidR="00BC3954" w:rsidRPr="00590EFB" w:rsidRDefault="00BC3954" w:rsidP="001F1E12">
            <w:pPr>
              <w:spacing w:before="80" w:after="80"/>
              <w:jc w:val="center"/>
              <w:rPr>
                <w:rFonts w:cs="Arial"/>
                <w:b/>
                <w:color w:val="000000" w:themeColor="text1"/>
                <w:szCs w:val="24"/>
              </w:rPr>
            </w:pPr>
            <w:r w:rsidRPr="00590EFB">
              <w:rPr>
                <w:rFonts w:cs="Arial"/>
                <w:b/>
                <w:color w:val="000000" w:themeColor="text1"/>
                <w:szCs w:val="24"/>
              </w:rPr>
              <w:t>Description</w:t>
            </w:r>
          </w:p>
        </w:tc>
        <w:tc>
          <w:tcPr>
            <w:tcW w:w="1701" w:type="dxa"/>
            <w:shd w:val="clear" w:color="auto" w:fill="FBD4B4" w:themeFill="accent6" w:themeFillTint="66"/>
          </w:tcPr>
          <w:p w14:paraId="017F3DF6" w14:textId="77777777" w:rsidR="00BC3954" w:rsidRPr="00590EFB" w:rsidRDefault="00BC3954" w:rsidP="001F1E12">
            <w:pPr>
              <w:spacing w:before="80" w:after="80"/>
              <w:jc w:val="center"/>
              <w:rPr>
                <w:rFonts w:cs="Arial"/>
                <w:b/>
                <w:color w:val="000000" w:themeColor="text1"/>
                <w:szCs w:val="24"/>
              </w:rPr>
            </w:pPr>
            <w:r w:rsidRPr="00590EFB">
              <w:rPr>
                <w:rFonts w:cs="Arial"/>
                <w:b/>
                <w:color w:val="000000" w:themeColor="text1"/>
                <w:szCs w:val="24"/>
              </w:rPr>
              <w:t>Page</w:t>
            </w:r>
          </w:p>
        </w:tc>
      </w:tr>
      <w:tr w:rsidR="004C1EA8" w:rsidRPr="004C1EA8" w14:paraId="4E0348A7" w14:textId="77777777" w:rsidTr="004E2C43">
        <w:trPr>
          <w:trHeight w:val="20"/>
        </w:trPr>
        <w:tc>
          <w:tcPr>
            <w:tcW w:w="1701" w:type="dxa"/>
          </w:tcPr>
          <w:p w14:paraId="78BA96EA" w14:textId="0C083791" w:rsidR="00861EB7" w:rsidRPr="004C1EA8" w:rsidRDefault="00861EB7" w:rsidP="004E2C43">
            <w:pPr>
              <w:pStyle w:val="ListParagraph"/>
              <w:spacing w:before="60" w:after="60"/>
              <w:rPr>
                <w:rFonts w:cs="Arial"/>
                <w:b/>
                <w:color w:val="000000" w:themeColor="text1"/>
                <w:szCs w:val="24"/>
              </w:rPr>
            </w:pPr>
          </w:p>
        </w:tc>
        <w:tc>
          <w:tcPr>
            <w:tcW w:w="9638" w:type="dxa"/>
          </w:tcPr>
          <w:p w14:paraId="293C7AF2" w14:textId="7B9A4F4A" w:rsidR="00861EB7" w:rsidRPr="004C1EA8" w:rsidRDefault="0070393D" w:rsidP="004E2C43">
            <w:pPr>
              <w:spacing w:before="60" w:after="60"/>
              <w:rPr>
                <w:rFonts w:cs="Arial"/>
                <w:b/>
                <w:color w:val="000000" w:themeColor="text1"/>
                <w:szCs w:val="24"/>
              </w:rPr>
            </w:pPr>
            <w:r>
              <w:rPr>
                <w:rFonts w:cs="Arial"/>
                <w:b/>
                <w:color w:val="000000" w:themeColor="text1"/>
                <w:szCs w:val="24"/>
              </w:rPr>
              <w:t>Executive Summary</w:t>
            </w:r>
          </w:p>
        </w:tc>
        <w:tc>
          <w:tcPr>
            <w:tcW w:w="1701" w:type="dxa"/>
          </w:tcPr>
          <w:p w14:paraId="10454F63" w14:textId="40D22AA9" w:rsidR="00861EB7" w:rsidRPr="004C1EA8" w:rsidRDefault="0070393D" w:rsidP="004E2C43">
            <w:pPr>
              <w:spacing w:before="60" w:after="60"/>
              <w:jc w:val="center"/>
              <w:rPr>
                <w:rFonts w:cs="Arial"/>
                <w:b/>
                <w:color w:val="000000" w:themeColor="text1"/>
                <w:szCs w:val="24"/>
              </w:rPr>
            </w:pPr>
            <w:r>
              <w:rPr>
                <w:rFonts w:cs="Arial"/>
                <w:b/>
                <w:color w:val="000000" w:themeColor="text1"/>
                <w:szCs w:val="24"/>
              </w:rPr>
              <w:t>3</w:t>
            </w:r>
          </w:p>
        </w:tc>
      </w:tr>
      <w:tr w:rsidR="0070393D" w14:paraId="35533F2D" w14:textId="77777777" w:rsidTr="00590EFB">
        <w:trPr>
          <w:trHeight w:val="113"/>
        </w:trPr>
        <w:tc>
          <w:tcPr>
            <w:tcW w:w="1701" w:type="dxa"/>
          </w:tcPr>
          <w:p w14:paraId="6F0717A4" w14:textId="26AAF37E" w:rsidR="0070393D" w:rsidRPr="004C1EA8" w:rsidRDefault="0070393D" w:rsidP="0070393D">
            <w:pPr>
              <w:pStyle w:val="ListParagraph"/>
              <w:spacing w:before="60" w:after="60"/>
              <w:rPr>
                <w:rFonts w:cs="Arial"/>
                <w:b/>
                <w:color w:val="000000" w:themeColor="text1"/>
                <w:szCs w:val="24"/>
              </w:rPr>
            </w:pPr>
            <w:r>
              <w:rPr>
                <w:rFonts w:cs="Arial"/>
                <w:b/>
                <w:color w:val="000000" w:themeColor="text1"/>
                <w:szCs w:val="24"/>
              </w:rPr>
              <w:t>1</w:t>
            </w:r>
          </w:p>
        </w:tc>
        <w:tc>
          <w:tcPr>
            <w:tcW w:w="9638" w:type="dxa"/>
          </w:tcPr>
          <w:p w14:paraId="7E22DAC5" w14:textId="3FEB65C8" w:rsidR="0070393D" w:rsidRPr="004C1EA8" w:rsidRDefault="0070393D" w:rsidP="0070393D">
            <w:pPr>
              <w:spacing w:before="60" w:after="60"/>
              <w:rPr>
                <w:rFonts w:cs="Arial"/>
                <w:b/>
                <w:color w:val="000000" w:themeColor="text1"/>
                <w:szCs w:val="24"/>
              </w:rPr>
            </w:pPr>
            <w:r>
              <w:rPr>
                <w:rFonts w:cs="Arial"/>
                <w:b/>
                <w:color w:val="000000" w:themeColor="text1"/>
                <w:szCs w:val="24"/>
              </w:rPr>
              <w:t>Introduction</w:t>
            </w:r>
          </w:p>
        </w:tc>
        <w:tc>
          <w:tcPr>
            <w:tcW w:w="1701" w:type="dxa"/>
          </w:tcPr>
          <w:p w14:paraId="1A2FC2DC" w14:textId="59BB6D22"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4</w:t>
            </w:r>
          </w:p>
        </w:tc>
      </w:tr>
      <w:tr w:rsidR="0070393D" w14:paraId="752347E7" w14:textId="77777777" w:rsidTr="00590EFB">
        <w:trPr>
          <w:trHeight w:val="113"/>
        </w:trPr>
        <w:tc>
          <w:tcPr>
            <w:tcW w:w="1701" w:type="dxa"/>
          </w:tcPr>
          <w:p w14:paraId="55AB5F3D" w14:textId="07E80B69"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2</w:t>
            </w:r>
          </w:p>
        </w:tc>
        <w:tc>
          <w:tcPr>
            <w:tcW w:w="9638" w:type="dxa"/>
          </w:tcPr>
          <w:p w14:paraId="2A718259" w14:textId="6017393A" w:rsidR="0070393D" w:rsidRPr="004C1EA8" w:rsidRDefault="0070393D" w:rsidP="0070393D">
            <w:pPr>
              <w:spacing w:before="60" w:after="60"/>
              <w:rPr>
                <w:rFonts w:cs="Arial"/>
                <w:b/>
                <w:color w:val="000000" w:themeColor="text1"/>
                <w:szCs w:val="24"/>
              </w:rPr>
            </w:pPr>
            <w:r>
              <w:rPr>
                <w:rFonts w:cs="Arial"/>
                <w:b/>
                <w:color w:val="000000" w:themeColor="text1"/>
                <w:szCs w:val="24"/>
              </w:rPr>
              <w:t>Challenges and Changes in Phase 2</w:t>
            </w:r>
          </w:p>
        </w:tc>
        <w:tc>
          <w:tcPr>
            <w:tcW w:w="1701" w:type="dxa"/>
          </w:tcPr>
          <w:p w14:paraId="5FA26C58" w14:textId="0656A618"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5</w:t>
            </w:r>
          </w:p>
        </w:tc>
      </w:tr>
      <w:tr w:rsidR="0070393D" w14:paraId="12BAF7CF" w14:textId="77777777" w:rsidTr="004F0626">
        <w:trPr>
          <w:trHeight w:val="113"/>
        </w:trPr>
        <w:tc>
          <w:tcPr>
            <w:tcW w:w="1701" w:type="dxa"/>
          </w:tcPr>
          <w:p w14:paraId="658A643F" w14:textId="6A2B19F0"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3</w:t>
            </w:r>
          </w:p>
        </w:tc>
        <w:tc>
          <w:tcPr>
            <w:tcW w:w="9638" w:type="dxa"/>
            <w:vAlign w:val="center"/>
          </w:tcPr>
          <w:p w14:paraId="0934C47E" w14:textId="751EFCB9" w:rsidR="0070393D" w:rsidRPr="00652651" w:rsidRDefault="0070393D" w:rsidP="0070393D">
            <w:pPr>
              <w:spacing w:before="60" w:after="60"/>
              <w:rPr>
                <w:b/>
                <w:color w:val="000000" w:themeColor="text1"/>
              </w:rPr>
            </w:pPr>
            <w:r>
              <w:rPr>
                <w:b/>
                <w:color w:val="000000" w:themeColor="text1"/>
              </w:rPr>
              <w:t>Changes in Demand</w:t>
            </w:r>
          </w:p>
        </w:tc>
        <w:tc>
          <w:tcPr>
            <w:tcW w:w="1701" w:type="dxa"/>
          </w:tcPr>
          <w:p w14:paraId="4862D610" w14:textId="452E9A0B"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7</w:t>
            </w:r>
          </w:p>
        </w:tc>
      </w:tr>
      <w:tr w:rsidR="0070393D" w14:paraId="5269F642" w14:textId="77777777" w:rsidTr="004F0626">
        <w:trPr>
          <w:trHeight w:val="113"/>
        </w:trPr>
        <w:tc>
          <w:tcPr>
            <w:tcW w:w="1701" w:type="dxa"/>
          </w:tcPr>
          <w:p w14:paraId="29C18B6E" w14:textId="1012A119"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4</w:t>
            </w:r>
          </w:p>
        </w:tc>
        <w:tc>
          <w:tcPr>
            <w:tcW w:w="9638" w:type="dxa"/>
            <w:vAlign w:val="center"/>
          </w:tcPr>
          <w:p w14:paraId="010EBC87" w14:textId="6707232C" w:rsidR="0070393D" w:rsidRPr="00652651" w:rsidRDefault="0070393D" w:rsidP="0070393D">
            <w:pPr>
              <w:spacing w:before="60" w:after="60"/>
              <w:rPr>
                <w:b/>
                <w:color w:val="000000" w:themeColor="text1"/>
              </w:rPr>
            </w:pPr>
            <w:r>
              <w:rPr>
                <w:b/>
                <w:color w:val="000000" w:themeColor="text1"/>
              </w:rPr>
              <w:t>Customer Feedback</w:t>
            </w:r>
          </w:p>
        </w:tc>
        <w:tc>
          <w:tcPr>
            <w:tcW w:w="1701" w:type="dxa"/>
          </w:tcPr>
          <w:p w14:paraId="2D63380C" w14:textId="27D88219"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7</w:t>
            </w:r>
          </w:p>
        </w:tc>
      </w:tr>
      <w:tr w:rsidR="0070393D" w14:paraId="7A891066" w14:textId="77777777" w:rsidTr="00D27640">
        <w:trPr>
          <w:trHeight w:val="113"/>
        </w:trPr>
        <w:tc>
          <w:tcPr>
            <w:tcW w:w="1701" w:type="dxa"/>
          </w:tcPr>
          <w:p w14:paraId="46191569" w14:textId="5E15232C"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5</w:t>
            </w:r>
          </w:p>
        </w:tc>
        <w:tc>
          <w:tcPr>
            <w:tcW w:w="9638" w:type="dxa"/>
            <w:vAlign w:val="center"/>
          </w:tcPr>
          <w:p w14:paraId="4B572D9E" w14:textId="17DD3890" w:rsidR="0070393D" w:rsidRPr="004C1EA8" w:rsidRDefault="0070393D" w:rsidP="0070393D">
            <w:pPr>
              <w:spacing w:before="60" w:after="60"/>
              <w:rPr>
                <w:rFonts w:cs="Arial"/>
                <w:b/>
                <w:color w:val="000000" w:themeColor="text1"/>
                <w:szCs w:val="24"/>
              </w:rPr>
            </w:pPr>
            <w:r>
              <w:rPr>
                <w:b/>
                <w:color w:val="000000" w:themeColor="text1"/>
              </w:rPr>
              <w:t>Performance Management</w:t>
            </w:r>
          </w:p>
        </w:tc>
        <w:tc>
          <w:tcPr>
            <w:tcW w:w="1701" w:type="dxa"/>
          </w:tcPr>
          <w:p w14:paraId="6A7DE362" w14:textId="3803B45A" w:rsidR="0070393D" w:rsidRDefault="0070393D" w:rsidP="0070393D">
            <w:pPr>
              <w:spacing w:before="60" w:after="60"/>
              <w:jc w:val="center"/>
              <w:rPr>
                <w:rFonts w:cs="Arial"/>
                <w:b/>
                <w:color w:val="000000" w:themeColor="text1"/>
                <w:szCs w:val="24"/>
              </w:rPr>
            </w:pPr>
            <w:r>
              <w:rPr>
                <w:rFonts w:cs="Arial"/>
                <w:b/>
                <w:color w:val="000000" w:themeColor="text1"/>
                <w:szCs w:val="24"/>
              </w:rPr>
              <w:t>8</w:t>
            </w:r>
          </w:p>
        </w:tc>
      </w:tr>
      <w:tr w:rsidR="0070393D" w14:paraId="1A179D63" w14:textId="77777777" w:rsidTr="00590EFB">
        <w:trPr>
          <w:trHeight w:val="113"/>
        </w:trPr>
        <w:tc>
          <w:tcPr>
            <w:tcW w:w="1701" w:type="dxa"/>
          </w:tcPr>
          <w:p w14:paraId="7747052C" w14:textId="6EB08770"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6</w:t>
            </w:r>
          </w:p>
        </w:tc>
        <w:tc>
          <w:tcPr>
            <w:tcW w:w="9638" w:type="dxa"/>
          </w:tcPr>
          <w:p w14:paraId="7A9E6D61" w14:textId="4EA3D3FF" w:rsidR="0070393D" w:rsidRPr="004C1EA8" w:rsidRDefault="0070393D" w:rsidP="0070393D">
            <w:pPr>
              <w:spacing w:before="60" w:after="60"/>
              <w:rPr>
                <w:rFonts w:cs="Arial"/>
                <w:b/>
                <w:color w:val="000000" w:themeColor="text1"/>
                <w:szCs w:val="24"/>
              </w:rPr>
            </w:pPr>
            <w:r>
              <w:rPr>
                <w:rFonts w:cs="Arial"/>
                <w:b/>
                <w:color w:val="000000" w:themeColor="text1"/>
                <w:szCs w:val="24"/>
              </w:rPr>
              <w:t>Funding Phase 2</w:t>
            </w:r>
          </w:p>
        </w:tc>
        <w:tc>
          <w:tcPr>
            <w:tcW w:w="1701" w:type="dxa"/>
          </w:tcPr>
          <w:p w14:paraId="2AD720F2" w14:textId="19E9C82F" w:rsidR="0070393D" w:rsidRPr="004C1EA8" w:rsidRDefault="00E31A12" w:rsidP="0070393D">
            <w:pPr>
              <w:spacing w:before="60" w:after="60"/>
              <w:jc w:val="center"/>
              <w:rPr>
                <w:rFonts w:cs="Arial"/>
                <w:b/>
                <w:color w:val="000000" w:themeColor="text1"/>
                <w:szCs w:val="24"/>
              </w:rPr>
            </w:pPr>
            <w:r>
              <w:rPr>
                <w:rFonts w:cs="Arial"/>
                <w:b/>
                <w:color w:val="000000" w:themeColor="text1"/>
                <w:szCs w:val="24"/>
              </w:rPr>
              <w:t>8</w:t>
            </w:r>
          </w:p>
        </w:tc>
      </w:tr>
      <w:tr w:rsidR="0070393D" w14:paraId="7C4370DB" w14:textId="77777777" w:rsidTr="00590EFB">
        <w:trPr>
          <w:trHeight w:val="113"/>
        </w:trPr>
        <w:tc>
          <w:tcPr>
            <w:tcW w:w="1701" w:type="dxa"/>
          </w:tcPr>
          <w:p w14:paraId="16FD9EA8" w14:textId="52694C71"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7</w:t>
            </w:r>
          </w:p>
        </w:tc>
        <w:tc>
          <w:tcPr>
            <w:tcW w:w="9638" w:type="dxa"/>
          </w:tcPr>
          <w:p w14:paraId="1ABC55A5" w14:textId="36D10958" w:rsidR="0070393D" w:rsidRPr="004C1EA8" w:rsidRDefault="0070393D" w:rsidP="0070393D">
            <w:pPr>
              <w:spacing w:before="60" w:after="60"/>
              <w:rPr>
                <w:rFonts w:cs="Arial"/>
                <w:b/>
                <w:color w:val="000000" w:themeColor="text1"/>
                <w:szCs w:val="24"/>
              </w:rPr>
            </w:pPr>
            <w:r>
              <w:rPr>
                <w:rFonts w:cs="Arial"/>
                <w:b/>
                <w:color w:val="000000" w:themeColor="text1"/>
                <w:szCs w:val="24"/>
              </w:rPr>
              <w:t>What Will Phase 2 Look Like?</w:t>
            </w:r>
          </w:p>
        </w:tc>
        <w:tc>
          <w:tcPr>
            <w:tcW w:w="1701" w:type="dxa"/>
          </w:tcPr>
          <w:p w14:paraId="462E60C6" w14:textId="1E4890D3"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9</w:t>
            </w:r>
          </w:p>
        </w:tc>
      </w:tr>
      <w:tr w:rsidR="0070393D" w14:paraId="75F5FDEB" w14:textId="77777777" w:rsidTr="00590EFB">
        <w:trPr>
          <w:trHeight w:val="113"/>
        </w:trPr>
        <w:tc>
          <w:tcPr>
            <w:tcW w:w="1701" w:type="dxa"/>
          </w:tcPr>
          <w:p w14:paraId="424D7519" w14:textId="0722E8E0"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8</w:t>
            </w:r>
          </w:p>
        </w:tc>
        <w:tc>
          <w:tcPr>
            <w:tcW w:w="9638" w:type="dxa"/>
          </w:tcPr>
          <w:p w14:paraId="30921D85" w14:textId="5B60687A" w:rsidR="0070393D" w:rsidRPr="004C1EA8" w:rsidRDefault="0070393D" w:rsidP="0070393D">
            <w:pPr>
              <w:spacing w:before="60" w:after="60"/>
              <w:rPr>
                <w:rFonts w:cs="Arial"/>
                <w:b/>
                <w:color w:val="000000" w:themeColor="text1"/>
                <w:szCs w:val="24"/>
              </w:rPr>
            </w:pPr>
            <w:r>
              <w:rPr>
                <w:rFonts w:cs="Arial"/>
                <w:b/>
                <w:color w:val="000000" w:themeColor="text1"/>
                <w:szCs w:val="24"/>
              </w:rPr>
              <w:t>Service Standards</w:t>
            </w:r>
          </w:p>
        </w:tc>
        <w:tc>
          <w:tcPr>
            <w:tcW w:w="1701" w:type="dxa"/>
          </w:tcPr>
          <w:p w14:paraId="70833E32" w14:textId="60E8B4EF"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9</w:t>
            </w:r>
          </w:p>
        </w:tc>
      </w:tr>
      <w:tr w:rsidR="0070393D" w14:paraId="2C3CF1AC" w14:textId="77777777" w:rsidTr="00590EFB">
        <w:trPr>
          <w:trHeight w:val="113"/>
        </w:trPr>
        <w:tc>
          <w:tcPr>
            <w:tcW w:w="1701" w:type="dxa"/>
          </w:tcPr>
          <w:p w14:paraId="791B2704" w14:textId="4EC1D004"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9</w:t>
            </w:r>
          </w:p>
        </w:tc>
        <w:tc>
          <w:tcPr>
            <w:tcW w:w="9638" w:type="dxa"/>
          </w:tcPr>
          <w:p w14:paraId="21B4AE07" w14:textId="6492F4B3" w:rsidR="0070393D" w:rsidRPr="004C1EA8" w:rsidRDefault="0070393D" w:rsidP="0070393D">
            <w:pPr>
              <w:spacing w:before="60" w:after="60"/>
              <w:rPr>
                <w:rFonts w:cs="Arial"/>
                <w:b/>
                <w:color w:val="000000" w:themeColor="text1"/>
                <w:szCs w:val="24"/>
              </w:rPr>
            </w:pPr>
            <w:r>
              <w:rPr>
                <w:rFonts w:cs="Arial"/>
                <w:b/>
                <w:color w:val="000000" w:themeColor="text1"/>
                <w:szCs w:val="24"/>
              </w:rPr>
              <w:t>How Will We Deal with Additional Funds?</w:t>
            </w:r>
          </w:p>
        </w:tc>
        <w:tc>
          <w:tcPr>
            <w:tcW w:w="1701" w:type="dxa"/>
          </w:tcPr>
          <w:p w14:paraId="2B8519D6" w14:textId="5A721D33"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9</w:t>
            </w:r>
          </w:p>
        </w:tc>
      </w:tr>
      <w:tr w:rsidR="0070393D" w14:paraId="777650E9" w14:textId="77777777" w:rsidTr="00590EFB">
        <w:trPr>
          <w:trHeight w:val="113"/>
        </w:trPr>
        <w:tc>
          <w:tcPr>
            <w:tcW w:w="1701" w:type="dxa"/>
          </w:tcPr>
          <w:p w14:paraId="39101F8A" w14:textId="7C560B9B"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10</w:t>
            </w:r>
          </w:p>
        </w:tc>
        <w:tc>
          <w:tcPr>
            <w:tcW w:w="9638" w:type="dxa"/>
          </w:tcPr>
          <w:p w14:paraId="3A96B29F" w14:textId="64EF4EE5" w:rsidR="0070393D" w:rsidRPr="004C1EA8" w:rsidRDefault="0070393D" w:rsidP="0070393D">
            <w:pPr>
              <w:spacing w:before="60" w:after="60"/>
              <w:rPr>
                <w:rFonts w:cs="Arial"/>
                <w:b/>
                <w:color w:val="000000" w:themeColor="text1"/>
                <w:szCs w:val="24"/>
              </w:rPr>
            </w:pPr>
            <w:r>
              <w:rPr>
                <w:rFonts w:cs="Arial"/>
                <w:b/>
                <w:color w:val="000000" w:themeColor="text1"/>
                <w:szCs w:val="24"/>
              </w:rPr>
              <w:t>Reporting Progress</w:t>
            </w:r>
          </w:p>
        </w:tc>
        <w:tc>
          <w:tcPr>
            <w:tcW w:w="1701" w:type="dxa"/>
          </w:tcPr>
          <w:p w14:paraId="424F4E29" w14:textId="66D70857" w:rsidR="0070393D" w:rsidRPr="004C1EA8" w:rsidRDefault="0070393D" w:rsidP="0070393D">
            <w:pPr>
              <w:spacing w:before="60" w:after="60"/>
              <w:jc w:val="center"/>
              <w:rPr>
                <w:rFonts w:cs="Arial"/>
                <w:b/>
                <w:color w:val="000000" w:themeColor="text1"/>
                <w:szCs w:val="24"/>
              </w:rPr>
            </w:pPr>
            <w:r>
              <w:rPr>
                <w:rFonts w:cs="Arial"/>
                <w:b/>
                <w:color w:val="000000" w:themeColor="text1"/>
                <w:szCs w:val="24"/>
              </w:rPr>
              <w:t>9</w:t>
            </w:r>
          </w:p>
        </w:tc>
      </w:tr>
      <w:tr w:rsidR="0070393D" w14:paraId="75C2A240" w14:textId="77777777" w:rsidTr="00590EFB">
        <w:trPr>
          <w:trHeight w:val="113"/>
        </w:trPr>
        <w:tc>
          <w:tcPr>
            <w:tcW w:w="1701" w:type="dxa"/>
          </w:tcPr>
          <w:p w14:paraId="110AE891" w14:textId="77777777" w:rsidR="0070393D" w:rsidRPr="004C1EA8" w:rsidRDefault="0070393D" w:rsidP="0070393D">
            <w:pPr>
              <w:spacing w:before="60" w:after="60"/>
              <w:jc w:val="center"/>
              <w:rPr>
                <w:rFonts w:cs="Arial"/>
                <w:b/>
                <w:color w:val="000000" w:themeColor="text1"/>
                <w:szCs w:val="24"/>
              </w:rPr>
            </w:pPr>
          </w:p>
        </w:tc>
        <w:tc>
          <w:tcPr>
            <w:tcW w:w="9638" w:type="dxa"/>
          </w:tcPr>
          <w:p w14:paraId="6A88C822" w14:textId="4B42AD2A" w:rsidR="0070393D" w:rsidRPr="004C1EA8" w:rsidRDefault="005F20B9" w:rsidP="0070393D">
            <w:pPr>
              <w:spacing w:before="60" w:after="60"/>
              <w:rPr>
                <w:rFonts w:cs="Arial"/>
                <w:b/>
                <w:color w:val="000000" w:themeColor="text1"/>
                <w:szCs w:val="24"/>
              </w:rPr>
            </w:pPr>
            <w:r>
              <w:rPr>
                <w:rFonts w:cs="Arial"/>
                <w:b/>
                <w:color w:val="000000" w:themeColor="text1"/>
                <w:szCs w:val="24"/>
              </w:rPr>
              <w:t>Appendix 1 – Generic Service Standards</w:t>
            </w:r>
          </w:p>
        </w:tc>
        <w:tc>
          <w:tcPr>
            <w:tcW w:w="1701" w:type="dxa"/>
          </w:tcPr>
          <w:p w14:paraId="1C72A8CE" w14:textId="667A5DF2" w:rsidR="0070393D" w:rsidRPr="004C1EA8" w:rsidRDefault="005F20B9" w:rsidP="0070393D">
            <w:pPr>
              <w:spacing w:before="60" w:after="60"/>
              <w:jc w:val="center"/>
              <w:rPr>
                <w:rFonts w:cs="Arial"/>
                <w:b/>
                <w:color w:val="000000" w:themeColor="text1"/>
                <w:szCs w:val="24"/>
              </w:rPr>
            </w:pPr>
            <w:r>
              <w:rPr>
                <w:rFonts w:cs="Arial"/>
                <w:b/>
                <w:color w:val="000000" w:themeColor="text1"/>
                <w:szCs w:val="24"/>
              </w:rPr>
              <w:t>11</w:t>
            </w:r>
          </w:p>
        </w:tc>
      </w:tr>
      <w:tr w:rsidR="0070393D" w14:paraId="40E3A720" w14:textId="77777777" w:rsidTr="00590EFB">
        <w:trPr>
          <w:trHeight w:val="113"/>
        </w:trPr>
        <w:tc>
          <w:tcPr>
            <w:tcW w:w="1701" w:type="dxa"/>
          </w:tcPr>
          <w:p w14:paraId="46D77307" w14:textId="77777777" w:rsidR="0070393D" w:rsidRPr="004C1EA8" w:rsidRDefault="0070393D" w:rsidP="0070393D">
            <w:pPr>
              <w:spacing w:before="60" w:after="60"/>
              <w:jc w:val="center"/>
              <w:rPr>
                <w:rFonts w:cs="Arial"/>
                <w:b/>
                <w:color w:val="000000" w:themeColor="text1"/>
                <w:szCs w:val="24"/>
              </w:rPr>
            </w:pPr>
          </w:p>
        </w:tc>
        <w:tc>
          <w:tcPr>
            <w:tcW w:w="9638" w:type="dxa"/>
          </w:tcPr>
          <w:p w14:paraId="52649E19" w14:textId="37BCF369" w:rsidR="0070393D" w:rsidRPr="004C1EA8" w:rsidRDefault="005F20B9" w:rsidP="0070393D">
            <w:pPr>
              <w:spacing w:before="60" w:after="60"/>
              <w:rPr>
                <w:rFonts w:cs="Arial"/>
                <w:b/>
                <w:color w:val="000000" w:themeColor="text1"/>
                <w:szCs w:val="24"/>
              </w:rPr>
            </w:pPr>
            <w:r>
              <w:rPr>
                <w:rFonts w:cs="Arial"/>
                <w:b/>
                <w:color w:val="000000" w:themeColor="text1"/>
                <w:szCs w:val="24"/>
              </w:rPr>
              <w:t>Appendix 2 – Indicative Funding Levels 2020/21 and 2021/22</w:t>
            </w:r>
          </w:p>
        </w:tc>
        <w:tc>
          <w:tcPr>
            <w:tcW w:w="1701" w:type="dxa"/>
          </w:tcPr>
          <w:p w14:paraId="7911F4A7" w14:textId="5B109FF9" w:rsidR="0070393D" w:rsidRPr="004C1EA8" w:rsidRDefault="005F20B9" w:rsidP="0070393D">
            <w:pPr>
              <w:spacing w:before="60" w:after="60"/>
              <w:jc w:val="center"/>
              <w:rPr>
                <w:rFonts w:cs="Arial"/>
                <w:b/>
                <w:color w:val="000000" w:themeColor="text1"/>
                <w:szCs w:val="24"/>
              </w:rPr>
            </w:pPr>
            <w:r>
              <w:rPr>
                <w:rFonts w:cs="Arial"/>
                <w:b/>
                <w:color w:val="000000" w:themeColor="text1"/>
                <w:szCs w:val="24"/>
              </w:rPr>
              <w:t>20</w:t>
            </w:r>
          </w:p>
        </w:tc>
      </w:tr>
      <w:tr w:rsidR="0070393D" w14:paraId="1F34C783" w14:textId="77777777" w:rsidTr="00590EFB">
        <w:trPr>
          <w:trHeight w:val="113"/>
        </w:trPr>
        <w:tc>
          <w:tcPr>
            <w:tcW w:w="1701" w:type="dxa"/>
          </w:tcPr>
          <w:p w14:paraId="788F4539" w14:textId="77777777" w:rsidR="0070393D" w:rsidRPr="004C1EA8" w:rsidRDefault="0070393D" w:rsidP="0070393D">
            <w:pPr>
              <w:spacing w:before="60" w:after="60"/>
              <w:jc w:val="center"/>
              <w:rPr>
                <w:rFonts w:cs="Arial"/>
                <w:b/>
                <w:color w:val="000000" w:themeColor="text1"/>
                <w:szCs w:val="24"/>
              </w:rPr>
            </w:pPr>
          </w:p>
        </w:tc>
        <w:tc>
          <w:tcPr>
            <w:tcW w:w="9638" w:type="dxa"/>
          </w:tcPr>
          <w:p w14:paraId="2B5F8A4E" w14:textId="243DE0B2" w:rsidR="0070393D" w:rsidRPr="004C1EA8" w:rsidRDefault="005F20B9" w:rsidP="0070393D">
            <w:pPr>
              <w:spacing w:before="60" w:after="60"/>
              <w:rPr>
                <w:rFonts w:cs="Arial"/>
                <w:b/>
                <w:color w:val="000000" w:themeColor="text1"/>
                <w:szCs w:val="24"/>
              </w:rPr>
            </w:pPr>
            <w:r>
              <w:rPr>
                <w:rFonts w:cs="Arial"/>
                <w:b/>
                <w:color w:val="000000" w:themeColor="text1"/>
                <w:szCs w:val="24"/>
              </w:rPr>
              <w:t xml:space="preserve">Appendix 3 – </w:t>
            </w:r>
            <w:r w:rsidR="0044599B">
              <w:rPr>
                <w:rFonts w:cs="Arial"/>
                <w:b/>
                <w:color w:val="000000" w:themeColor="text1"/>
                <w:szCs w:val="24"/>
              </w:rPr>
              <w:t>Additional Funding</w:t>
            </w:r>
          </w:p>
        </w:tc>
        <w:tc>
          <w:tcPr>
            <w:tcW w:w="1701" w:type="dxa"/>
          </w:tcPr>
          <w:p w14:paraId="0B4989B6" w14:textId="596B500F" w:rsidR="0070393D" w:rsidRPr="004C1EA8" w:rsidRDefault="005F20B9" w:rsidP="0070393D">
            <w:pPr>
              <w:spacing w:before="60" w:after="60"/>
              <w:jc w:val="center"/>
              <w:rPr>
                <w:rFonts w:cs="Arial"/>
                <w:b/>
                <w:color w:val="000000" w:themeColor="text1"/>
                <w:szCs w:val="24"/>
              </w:rPr>
            </w:pPr>
            <w:r>
              <w:rPr>
                <w:rFonts w:cs="Arial"/>
                <w:b/>
                <w:color w:val="000000" w:themeColor="text1"/>
                <w:szCs w:val="24"/>
              </w:rPr>
              <w:t>22</w:t>
            </w:r>
          </w:p>
        </w:tc>
      </w:tr>
      <w:tr w:rsidR="0070393D" w14:paraId="46D72DB4" w14:textId="77777777" w:rsidTr="00590EFB">
        <w:trPr>
          <w:trHeight w:val="113"/>
        </w:trPr>
        <w:tc>
          <w:tcPr>
            <w:tcW w:w="1701" w:type="dxa"/>
          </w:tcPr>
          <w:p w14:paraId="46D6AF80" w14:textId="77777777" w:rsidR="0070393D" w:rsidRPr="004C1EA8" w:rsidRDefault="0070393D" w:rsidP="0070393D">
            <w:pPr>
              <w:spacing w:before="60" w:after="60"/>
              <w:jc w:val="center"/>
              <w:rPr>
                <w:rFonts w:cs="Arial"/>
                <w:b/>
                <w:color w:val="000000" w:themeColor="text1"/>
                <w:szCs w:val="24"/>
              </w:rPr>
            </w:pPr>
          </w:p>
        </w:tc>
        <w:tc>
          <w:tcPr>
            <w:tcW w:w="9638" w:type="dxa"/>
          </w:tcPr>
          <w:p w14:paraId="3517A335" w14:textId="0DE8103D" w:rsidR="0070393D" w:rsidRPr="004C1EA8" w:rsidRDefault="005F20B9" w:rsidP="0070393D">
            <w:pPr>
              <w:spacing w:before="60" w:after="60"/>
              <w:jc w:val="both"/>
              <w:rPr>
                <w:rFonts w:cs="Arial"/>
                <w:b/>
                <w:color w:val="000000" w:themeColor="text1"/>
                <w:szCs w:val="24"/>
              </w:rPr>
            </w:pPr>
            <w:r>
              <w:rPr>
                <w:rFonts w:cs="Arial"/>
                <w:b/>
                <w:color w:val="000000" w:themeColor="text1"/>
                <w:szCs w:val="24"/>
              </w:rPr>
              <w:t xml:space="preserve">Appendix 4 – </w:t>
            </w:r>
            <w:r w:rsidR="0044599B">
              <w:rPr>
                <w:rFonts w:cs="Arial"/>
                <w:b/>
                <w:color w:val="000000" w:themeColor="text1"/>
                <w:szCs w:val="24"/>
              </w:rPr>
              <w:t>Phase 2 Service Standards by Asset Type</w:t>
            </w:r>
          </w:p>
        </w:tc>
        <w:tc>
          <w:tcPr>
            <w:tcW w:w="1701" w:type="dxa"/>
          </w:tcPr>
          <w:p w14:paraId="66DCFCB2" w14:textId="65321C9E" w:rsidR="0070393D" w:rsidRPr="004C1EA8" w:rsidRDefault="0033461B" w:rsidP="0070393D">
            <w:pPr>
              <w:spacing w:before="60" w:after="60"/>
              <w:jc w:val="center"/>
              <w:rPr>
                <w:rFonts w:cs="Arial"/>
                <w:b/>
                <w:color w:val="000000" w:themeColor="text1"/>
                <w:szCs w:val="24"/>
              </w:rPr>
            </w:pPr>
            <w:r>
              <w:rPr>
                <w:rFonts w:cs="Arial"/>
                <w:b/>
                <w:color w:val="000000" w:themeColor="text1"/>
                <w:szCs w:val="24"/>
              </w:rPr>
              <w:t>24</w:t>
            </w:r>
          </w:p>
        </w:tc>
      </w:tr>
      <w:tr w:rsidR="0070393D" w14:paraId="0D0DB40A" w14:textId="77777777" w:rsidTr="00590EFB">
        <w:trPr>
          <w:trHeight w:val="113"/>
        </w:trPr>
        <w:tc>
          <w:tcPr>
            <w:tcW w:w="1701" w:type="dxa"/>
          </w:tcPr>
          <w:p w14:paraId="48012197" w14:textId="77777777" w:rsidR="0070393D" w:rsidRPr="004C1EA8" w:rsidRDefault="0070393D" w:rsidP="0070393D">
            <w:pPr>
              <w:spacing w:before="60" w:after="60"/>
              <w:jc w:val="center"/>
              <w:rPr>
                <w:rFonts w:cs="Arial"/>
                <w:b/>
                <w:color w:val="000000" w:themeColor="text1"/>
                <w:szCs w:val="24"/>
              </w:rPr>
            </w:pPr>
          </w:p>
        </w:tc>
        <w:tc>
          <w:tcPr>
            <w:tcW w:w="9638" w:type="dxa"/>
          </w:tcPr>
          <w:p w14:paraId="6E727778" w14:textId="0FC8970A" w:rsidR="0070393D" w:rsidRPr="004C1EA8" w:rsidRDefault="005F20B9" w:rsidP="0070393D">
            <w:pPr>
              <w:spacing w:before="60" w:after="60"/>
              <w:jc w:val="both"/>
              <w:rPr>
                <w:rFonts w:cs="Arial"/>
                <w:b/>
                <w:color w:val="000000" w:themeColor="text1"/>
                <w:szCs w:val="24"/>
              </w:rPr>
            </w:pPr>
            <w:r>
              <w:rPr>
                <w:rFonts w:cs="Arial"/>
                <w:b/>
                <w:color w:val="000000" w:themeColor="text1"/>
                <w:szCs w:val="24"/>
              </w:rPr>
              <w:t xml:space="preserve">Appendix 5 – Methodology to Workout Overall Asset Condition </w:t>
            </w:r>
          </w:p>
        </w:tc>
        <w:tc>
          <w:tcPr>
            <w:tcW w:w="1701" w:type="dxa"/>
          </w:tcPr>
          <w:p w14:paraId="385E19BA" w14:textId="3C8E0422" w:rsidR="0070393D" w:rsidRPr="004C1EA8" w:rsidRDefault="0033461B" w:rsidP="0070393D">
            <w:pPr>
              <w:spacing w:before="60" w:after="60"/>
              <w:jc w:val="center"/>
              <w:rPr>
                <w:rFonts w:cs="Arial"/>
                <w:b/>
                <w:color w:val="000000" w:themeColor="text1"/>
                <w:szCs w:val="24"/>
              </w:rPr>
            </w:pPr>
            <w:r>
              <w:rPr>
                <w:rFonts w:cs="Arial"/>
                <w:b/>
                <w:color w:val="000000" w:themeColor="text1"/>
                <w:szCs w:val="24"/>
              </w:rPr>
              <w:t>26</w:t>
            </w:r>
          </w:p>
        </w:tc>
      </w:tr>
      <w:tr w:rsidR="0070393D" w14:paraId="131DEF89" w14:textId="77777777" w:rsidTr="00590EFB">
        <w:trPr>
          <w:trHeight w:val="113"/>
        </w:trPr>
        <w:tc>
          <w:tcPr>
            <w:tcW w:w="1701" w:type="dxa"/>
          </w:tcPr>
          <w:p w14:paraId="61C09156" w14:textId="77777777" w:rsidR="0070393D" w:rsidRPr="004C1EA8" w:rsidRDefault="0070393D" w:rsidP="0070393D">
            <w:pPr>
              <w:spacing w:before="60" w:after="60"/>
              <w:jc w:val="center"/>
              <w:rPr>
                <w:rFonts w:cs="Arial"/>
                <w:b/>
                <w:color w:val="000000" w:themeColor="text1"/>
                <w:szCs w:val="24"/>
              </w:rPr>
            </w:pPr>
          </w:p>
        </w:tc>
        <w:tc>
          <w:tcPr>
            <w:tcW w:w="9638" w:type="dxa"/>
          </w:tcPr>
          <w:p w14:paraId="339488CE" w14:textId="77777777" w:rsidR="0070393D" w:rsidRPr="004C1EA8" w:rsidRDefault="0070393D" w:rsidP="0070393D">
            <w:pPr>
              <w:spacing w:before="60" w:after="60"/>
              <w:jc w:val="both"/>
              <w:rPr>
                <w:rFonts w:cs="Arial"/>
                <w:b/>
                <w:color w:val="000000" w:themeColor="text1"/>
                <w:szCs w:val="24"/>
              </w:rPr>
            </w:pPr>
          </w:p>
        </w:tc>
        <w:tc>
          <w:tcPr>
            <w:tcW w:w="1701" w:type="dxa"/>
          </w:tcPr>
          <w:p w14:paraId="64510446" w14:textId="77777777" w:rsidR="0070393D" w:rsidRPr="004C1EA8" w:rsidRDefault="0070393D" w:rsidP="0070393D">
            <w:pPr>
              <w:spacing w:before="60" w:after="60"/>
              <w:jc w:val="center"/>
              <w:rPr>
                <w:rFonts w:cs="Arial"/>
                <w:b/>
                <w:color w:val="000000" w:themeColor="text1"/>
                <w:szCs w:val="24"/>
              </w:rPr>
            </w:pPr>
          </w:p>
        </w:tc>
      </w:tr>
      <w:tr w:rsidR="0070393D" w14:paraId="43AA137F" w14:textId="77777777" w:rsidTr="00590EFB">
        <w:trPr>
          <w:trHeight w:val="113"/>
        </w:trPr>
        <w:tc>
          <w:tcPr>
            <w:tcW w:w="1701" w:type="dxa"/>
          </w:tcPr>
          <w:p w14:paraId="7E7B2924" w14:textId="77777777" w:rsidR="0070393D" w:rsidRPr="004C1EA8" w:rsidRDefault="0070393D" w:rsidP="0070393D">
            <w:pPr>
              <w:spacing w:before="60" w:after="60"/>
              <w:jc w:val="center"/>
              <w:rPr>
                <w:rFonts w:cs="Arial"/>
                <w:b/>
                <w:color w:val="000000" w:themeColor="text1"/>
                <w:szCs w:val="24"/>
              </w:rPr>
            </w:pPr>
          </w:p>
        </w:tc>
        <w:tc>
          <w:tcPr>
            <w:tcW w:w="9638" w:type="dxa"/>
          </w:tcPr>
          <w:p w14:paraId="55E64A21" w14:textId="77777777" w:rsidR="0070393D" w:rsidRPr="004C1EA8" w:rsidRDefault="0070393D" w:rsidP="0070393D">
            <w:pPr>
              <w:spacing w:before="60" w:after="60"/>
              <w:jc w:val="both"/>
              <w:rPr>
                <w:rFonts w:cs="Arial"/>
                <w:b/>
                <w:color w:val="000000" w:themeColor="text1"/>
                <w:szCs w:val="24"/>
              </w:rPr>
            </w:pPr>
          </w:p>
        </w:tc>
        <w:tc>
          <w:tcPr>
            <w:tcW w:w="1701" w:type="dxa"/>
          </w:tcPr>
          <w:p w14:paraId="7EB6BE28" w14:textId="77777777" w:rsidR="0070393D" w:rsidRPr="004C1EA8" w:rsidRDefault="0070393D" w:rsidP="0070393D">
            <w:pPr>
              <w:spacing w:before="60" w:after="60"/>
              <w:jc w:val="center"/>
              <w:rPr>
                <w:rFonts w:cs="Arial"/>
                <w:b/>
                <w:color w:val="000000" w:themeColor="text1"/>
                <w:szCs w:val="24"/>
              </w:rPr>
            </w:pPr>
          </w:p>
        </w:tc>
      </w:tr>
    </w:tbl>
    <w:p w14:paraId="6EBAB87D" w14:textId="77777777" w:rsidR="00BC3954" w:rsidRDefault="00BC3954">
      <w:pPr>
        <w:rPr>
          <w:b/>
          <w:color w:val="000000" w:themeColor="text1"/>
          <w:sz w:val="28"/>
          <w:szCs w:val="28"/>
        </w:rPr>
      </w:pPr>
    </w:p>
    <w:p w14:paraId="0C448CF3" w14:textId="77777777" w:rsidR="00BC3954" w:rsidRDefault="00BC3954">
      <w:pPr>
        <w:rPr>
          <w:b/>
          <w:color w:val="000000" w:themeColor="text1"/>
          <w:sz w:val="28"/>
          <w:szCs w:val="28"/>
        </w:rPr>
        <w:sectPr w:rsidR="00BC3954" w:rsidSect="00C9191C">
          <w:pgSz w:w="16838" w:h="11906" w:orient="landscape"/>
          <w:pgMar w:top="1440" w:right="1440" w:bottom="1440" w:left="1440" w:header="708" w:footer="708" w:gutter="0"/>
          <w:cols w:space="708"/>
          <w:titlePg/>
          <w:docGrid w:linePitch="360"/>
        </w:sectPr>
      </w:pPr>
    </w:p>
    <w:p w14:paraId="3CDFEB5E" w14:textId="77777777" w:rsidR="00747E19" w:rsidRDefault="000108F9" w:rsidP="000108F9">
      <w:pPr>
        <w:spacing w:after="0"/>
        <w:jc w:val="center"/>
        <w:rPr>
          <w:b/>
          <w:color w:val="000000" w:themeColor="text1"/>
          <w:sz w:val="28"/>
          <w:szCs w:val="28"/>
        </w:rPr>
      </w:pPr>
      <w:r w:rsidRPr="000108F9">
        <w:rPr>
          <w:b/>
          <w:color w:val="000000" w:themeColor="text1"/>
          <w:sz w:val="28"/>
          <w:szCs w:val="28"/>
        </w:rPr>
        <w:lastRenderedPageBreak/>
        <w:t>Transport Asset Management Plan</w:t>
      </w:r>
      <w:r w:rsidR="006F7284">
        <w:rPr>
          <w:b/>
          <w:color w:val="000000" w:themeColor="text1"/>
          <w:sz w:val="28"/>
          <w:szCs w:val="28"/>
        </w:rPr>
        <w:t xml:space="preserve"> –</w:t>
      </w:r>
      <w:r w:rsidR="00AE4755">
        <w:rPr>
          <w:b/>
          <w:color w:val="000000" w:themeColor="text1"/>
          <w:sz w:val="28"/>
          <w:szCs w:val="28"/>
        </w:rPr>
        <w:t xml:space="preserve"> </w:t>
      </w:r>
      <w:r w:rsidR="007452B1">
        <w:rPr>
          <w:b/>
          <w:color w:val="000000" w:themeColor="text1"/>
          <w:sz w:val="28"/>
          <w:szCs w:val="28"/>
        </w:rPr>
        <w:t>Phase Two</w:t>
      </w:r>
      <w:r w:rsidR="008B676E">
        <w:rPr>
          <w:b/>
          <w:color w:val="000000" w:themeColor="text1"/>
          <w:sz w:val="28"/>
          <w:szCs w:val="28"/>
        </w:rPr>
        <w:t xml:space="preserve"> Review</w:t>
      </w:r>
    </w:p>
    <w:p w14:paraId="75554B9D" w14:textId="77777777" w:rsidR="006F7E2B" w:rsidRPr="00CB29D2" w:rsidRDefault="006F7E2B" w:rsidP="00F679F6">
      <w:pPr>
        <w:spacing w:after="0"/>
        <w:rPr>
          <w:color w:val="000000" w:themeColor="text1"/>
          <w:szCs w:val="24"/>
        </w:rPr>
      </w:pPr>
    </w:p>
    <w:p w14:paraId="6442B766" w14:textId="77777777" w:rsidR="00747E19" w:rsidRDefault="00747E19" w:rsidP="00366598">
      <w:pPr>
        <w:spacing w:after="0"/>
        <w:rPr>
          <w:rFonts w:cs="Arial"/>
          <w:b/>
          <w:color w:val="000000" w:themeColor="text1"/>
        </w:rPr>
        <w:sectPr w:rsidR="00747E19" w:rsidSect="00747E19">
          <w:pgSz w:w="16838" w:h="11906" w:orient="landscape"/>
          <w:pgMar w:top="1134" w:right="1134" w:bottom="1134" w:left="1134" w:header="709" w:footer="709" w:gutter="0"/>
          <w:cols w:space="708"/>
          <w:docGrid w:linePitch="360"/>
        </w:sectPr>
      </w:pPr>
    </w:p>
    <w:p w14:paraId="6E82BD83" w14:textId="77777777" w:rsidR="00111B25" w:rsidRPr="0072651B" w:rsidRDefault="00111B25" w:rsidP="00366598">
      <w:pPr>
        <w:spacing w:after="0"/>
        <w:rPr>
          <w:rFonts w:cs="Arial"/>
          <w:b/>
          <w:color w:val="000000" w:themeColor="text1"/>
        </w:rPr>
      </w:pPr>
      <w:r w:rsidRPr="0072651B">
        <w:rPr>
          <w:rFonts w:cs="Arial"/>
          <w:b/>
          <w:color w:val="000000" w:themeColor="text1"/>
        </w:rPr>
        <w:t xml:space="preserve">Executive </w:t>
      </w:r>
      <w:r w:rsidRPr="004C1EA8">
        <w:rPr>
          <w:rFonts w:cs="Arial"/>
          <w:b/>
          <w:color w:val="000000" w:themeColor="text1"/>
        </w:rPr>
        <w:t>Summary</w:t>
      </w:r>
    </w:p>
    <w:p w14:paraId="2C6239D8" w14:textId="3488DCB9" w:rsidR="0081794B" w:rsidRPr="00842536" w:rsidRDefault="0081794B" w:rsidP="0098053B">
      <w:pPr>
        <w:autoSpaceDE w:val="0"/>
        <w:autoSpaceDN w:val="0"/>
        <w:adjustRightInd w:val="0"/>
        <w:spacing w:after="0"/>
        <w:jc w:val="both"/>
        <w:rPr>
          <w:rFonts w:cs="Arial"/>
          <w:color w:val="000000" w:themeColor="text1"/>
        </w:rPr>
      </w:pPr>
      <w:r w:rsidRPr="00842536">
        <w:rPr>
          <w:rFonts w:cs="Arial"/>
          <w:color w:val="000000" w:themeColor="text1"/>
          <w:szCs w:val="24"/>
        </w:rPr>
        <w:t>The T</w:t>
      </w:r>
      <w:r>
        <w:rPr>
          <w:rFonts w:cs="Arial"/>
          <w:color w:val="000000" w:themeColor="text1"/>
          <w:szCs w:val="24"/>
        </w:rPr>
        <w:t xml:space="preserve">ransport Asset Management Plan (TAMP) </w:t>
      </w:r>
      <w:r w:rsidRPr="00842536">
        <w:rPr>
          <w:rFonts w:cs="Arial"/>
          <w:color w:val="000000" w:themeColor="text1"/>
          <w:szCs w:val="24"/>
        </w:rPr>
        <w:t>was approved by the Cabinet Member for Highways and Transport on 10</w:t>
      </w:r>
      <w:r w:rsidRPr="00842536">
        <w:rPr>
          <w:rFonts w:cs="Arial"/>
          <w:color w:val="000000" w:themeColor="text1"/>
          <w:sz w:val="16"/>
          <w:szCs w:val="16"/>
        </w:rPr>
        <w:t xml:space="preserve"> </w:t>
      </w:r>
      <w:r w:rsidRPr="00842536">
        <w:rPr>
          <w:rFonts w:cs="Arial"/>
          <w:color w:val="000000" w:themeColor="text1"/>
          <w:szCs w:val="24"/>
        </w:rPr>
        <w:t>June 2014 and</w:t>
      </w:r>
      <w:r w:rsidRPr="00842536">
        <w:rPr>
          <w:rFonts w:cs="Arial"/>
          <w:color w:val="000000" w:themeColor="text1"/>
        </w:rPr>
        <w:t xml:space="preserve"> identified the key strategic priorities of the county council, as the highway authority for Lancashire</w:t>
      </w:r>
      <w:r w:rsidR="00E265EF">
        <w:rPr>
          <w:rFonts w:cs="Arial"/>
          <w:color w:val="000000" w:themeColor="text1"/>
        </w:rPr>
        <w:t>,</w:t>
      </w:r>
      <w:r w:rsidRPr="00842536">
        <w:rPr>
          <w:rFonts w:cs="Arial"/>
          <w:color w:val="000000" w:themeColor="text1"/>
        </w:rPr>
        <w:t xml:space="preserve"> during the period 2015/16 to 2029/30.</w:t>
      </w:r>
    </w:p>
    <w:p w14:paraId="4F51CB4A" w14:textId="64831760" w:rsidR="0081794B" w:rsidRDefault="0081794B" w:rsidP="0098053B">
      <w:pPr>
        <w:spacing w:after="0"/>
        <w:jc w:val="both"/>
        <w:rPr>
          <w:rFonts w:cs="Arial"/>
          <w:color w:val="000000" w:themeColor="text1"/>
        </w:rPr>
      </w:pPr>
    </w:p>
    <w:p w14:paraId="0FF0BC17" w14:textId="7199006C" w:rsidR="0081794B" w:rsidRPr="00842536" w:rsidRDefault="0081794B" w:rsidP="0098053B">
      <w:pPr>
        <w:spacing w:after="0"/>
        <w:jc w:val="both"/>
        <w:rPr>
          <w:rFonts w:cs="Arial"/>
          <w:color w:val="000000" w:themeColor="text1"/>
        </w:rPr>
      </w:pPr>
      <w:r w:rsidRPr="00842536">
        <w:rPr>
          <w:rFonts w:cs="Arial"/>
          <w:color w:val="000000" w:themeColor="text1"/>
        </w:rPr>
        <w:t>The TAMP recognised that due to ongoing financial constraints the county council could no longer simultaneously maintain all its transport assets to the same standard as previously.</w:t>
      </w:r>
    </w:p>
    <w:p w14:paraId="216C688B" w14:textId="77777777" w:rsidR="0081794B" w:rsidRDefault="0081794B" w:rsidP="0098053B">
      <w:pPr>
        <w:spacing w:after="0"/>
        <w:jc w:val="both"/>
        <w:rPr>
          <w:rFonts w:cs="Arial"/>
          <w:color w:val="000000" w:themeColor="text1"/>
        </w:rPr>
      </w:pPr>
    </w:p>
    <w:p w14:paraId="28AD354A" w14:textId="6EC14FE1" w:rsidR="007452B1" w:rsidRDefault="0098053B" w:rsidP="0098053B">
      <w:pPr>
        <w:autoSpaceDE w:val="0"/>
        <w:autoSpaceDN w:val="0"/>
        <w:adjustRightInd w:val="0"/>
        <w:spacing w:after="0"/>
        <w:jc w:val="both"/>
        <w:rPr>
          <w:rFonts w:ascii="TT5ECDAEo00" w:hAnsi="TT5ECDAEo00" w:cs="TT5ECDAEo00"/>
          <w:color w:val="000000" w:themeColor="text1"/>
          <w:szCs w:val="24"/>
        </w:rPr>
      </w:pPr>
      <w:proofErr w:type="gramStart"/>
      <w:r>
        <w:rPr>
          <w:color w:val="000000" w:themeColor="text1"/>
        </w:rPr>
        <w:t>In order to</w:t>
      </w:r>
      <w:proofErr w:type="gramEnd"/>
      <w:r>
        <w:rPr>
          <w:color w:val="000000" w:themeColor="text1"/>
        </w:rPr>
        <w:t xml:space="preserve"> address </w:t>
      </w:r>
      <w:r w:rsidR="007D2B93">
        <w:rPr>
          <w:color w:val="000000" w:themeColor="text1"/>
        </w:rPr>
        <w:t>this,</w:t>
      </w:r>
      <w:r>
        <w:rPr>
          <w:color w:val="000000" w:themeColor="text1"/>
        </w:rPr>
        <w:t xml:space="preserve"> we needed to change how we maintained ou</w:t>
      </w:r>
      <w:r w:rsidR="007D2B93">
        <w:rPr>
          <w:color w:val="000000" w:themeColor="text1"/>
        </w:rPr>
        <w:t>r</w:t>
      </w:r>
      <w:r>
        <w:rPr>
          <w:color w:val="000000" w:themeColor="text1"/>
        </w:rPr>
        <w:t xml:space="preserve"> transport assets.  We moved away </w:t>
      </w:r>
      <w:r w:rsidR="0081794B" w:rsidRPr="00197B6B">
        <w:rPr>
          <w:color w:val="000000" w:themeColor="text1"/>
        </w:rPr>
        <w:t>from the philosophy of tackling 'worst first</w:t>
      </w:r>
      <w:r w:rsidR="002E7D75">
        <w:rPr>
          <w:color w:val="000000" w:themeColor="text1"/>
        </w:rPr>
        <w:t>'</w:t>
      </w:r>
      <w:r w:rsidR="0081794B" w:rsidRPr="00197B6B">
        <w:rPr>
          <w:color w:val="000000" w:themeColor="text1"/>
        </w:rPr>
        <w:t xml:space="preserve"> </w:t>
      </w:r>
      <w:r w:rsidR="0081794B">
        <w:rPr>
          <w:color w:val="000000" w:themeColor="text1"/>
        </w:rPr>
        <w:t xml:space="preserve">in favour of an approach </w:t>
      </w:r>
      <w:r w:rsidR="0081794B" w:rsidRPr="00197B6B">
        <w:rPr>
          <w:color w:val="000000" w:themeColor="text1"/>
        </w:rPr>
        <w:t xml:space="preserve">whereby the underlying condition of the network </w:t>
      </w:r>
      <w:r w:rsidR="0081794B">
        <w:rPr>
          <w:color w:val="000000" w:themeColor="text1"/>
        </w:rPr>
        <w:t>wa</w:t>
      </w:r>
      <w:r w:rsidR="0081794B" w:rsidRPr="00197B6B">
        <w:rPr>
          <w:color w:val="000000" w:themeColor="text1"/>
        </w:rPr>
        <w:t xml:space="preserve">s addressed </w:t>
      </w:r>
      <w:r w:rsidR="0081794B">
        <w:rPr>
          <w:color w:val="000000" w:themeColor="text1"/>
        </w:rPr>
        <w:t xml:space="preserve">via the use of </w:t>
      </w:r>
      <w:r>
        <w:rPr>
          <w:color w:val="000000" w:themeColor="text1"/>
        </w:rPr>
        <w:t xml:space="preserve">early intervention </w:t>
      </w:r>
      <w:r w:rsidR="0081794B">
        <w:rPr>
          <w:color w:val="000000" w:themeColor="text1"/>
        </w:rPr>
        <w:t>preventative maintenance strategies</w:t>
      </w:r>
      <w:r w:rsidR="00527145">
        <w:rPr>
          <w:color w:val="000000" w:themeColor="text1"/>
        </w:rPr>
        <w:t>,</w:t>
      </w:r>
      <w:r w:rsidR="0081794B">
        <w:rPr>
          <w:color w:val="000000" w:themeColor="text1"/>
        </w:rPr>
        <w:t xml:space="preserve"> </w:t>
      </w:r>
      <w:r w:rsidR="0081794B" w:rsidRPr="00197B6B">
        <w:rPr>
          <w:color w:val="000000" w:themeColor="text1"/>
        </w:rPr>
        <w:t>as we believe</w:t>
      </w:r>
      <w:r w:rsidR="0081794B">
        <w:rPr>
          <w:color w:val="000000" w:themeColor="text1"/>
        </w:rPr>
        <w:t>d</w:t>
      </w:r>
      <w:r w:rsidR="0081794B" w:rsidRPr="00197B6B">
        <w:rPr>
          <w:color w:val="000000" w:themeColor="text1"/>
        </w:rPr>
        <w:t xml:space="preserve"> </w:t>
      </w:r>
      <w:r>
        <w:rPr>
          <w:color w:val="000000" w:themeColor="text1"/>
        </w:rPr>
        <w:t>t</w:t>
      </w:r>
      <w:r w:rsidR="0081794B" w:rsidRPr="00197B6B">
        <w:rPr>
          <w:color w:val="000000" w:themeColor="text1"/>
        </w:rPr>
        <w:t>his w</w:t>
      </w:r>
      <w:r w:rsidR="0081794B">
        <w:rPr>
          <w:color w:val="000000" w:themeColor="text1"/>
        </w:rPr>
        <w:t xml:space="preserve">ould </w:t>
      </w:r>
      <w:r w:rsidR="0081794B" w:rsidRPr="00197B6B">
        <w:rPr>
          <w:color w:val="000000" w:themeColor="text1"/>
        </w:rPr>
        <w:t>enable us to make more efficient use of our resources</w:t>
      </w:r>
    </w:p>
    <w:p w14:paraId="6D09CD81" w14:textId="77777777" w:rsidR="00E265EF" w:rsidRDefault="00E265EF" w:rsidP="0098053B">
      <w:pPr>
        <w:autoSpaceDE w:val="0"/>
        <w:autoSpaceDN w:val="0"/>
        <w:adjustRightInd w:val="0"/>
        <w:spacing w:after="0"/>
        <w:jc w:val="both"/>
        <w:rPr>
          <w:szCs w:val="24"/>
        </w:rPr>
      </w:pPr>
    </w:p>
    <w:p w14:paraId="3A752CEC" w14:textId="05854714" w:rsidR="00E265EF" w:rsidRDefault="00E265EF" w:rsidP="0098053B">
      <w:pPr>
        <w:autoSpaceDE w:val="0"/>
        <w:autoSpaceDN w:val="0"/>
        <w:adjustRightInd w:val="0"/>
        <w:spacing w:after="0"/>
        <w:jc w:val="both"/>
        <w:rPr>
          <w:szCs w:val="24"/>
        </w:rPr>
      </w:pPr>
      <w:r>
        <w:rPr>
          <w:szCs w:val="24"/>
        </w:rPr>
        <w:t>This approach has seen improvements in the</w:t>
      </w:r>
      <w:r w:rsidR="007D2B93">
        <w:rPr>
          <w:szCs w:val="24"/>
        </w:rPr>
        <w:t xml:space="preserve"> </w:t>
      </w:r>
      <w:r>
        <w:rPr>
          <w:szCs w:val="24"/>
        </w:rPr>
        <w:t xml:space="preserve">condition of </w:t>
      </w:r>
      <w:r w:rsidR="007D2B93">
        <w:rPr>
          <w:szCs w:val="24"/>
        </w:rPr>
        <w:t xml:space="preserve">both </w:t>
      </w:r>
      <w:r w:rsidR="00234234">
        <w:rPr>
          <w:szCs w:val="24"/>
        </w:rPr>
        <w:t xml:space="preserve">the </w:t>
      </w:r>
      <w:r>
        <w:rPr>
          <w:szCs w:val="24"/>
        </w:rPr>
        <w:t xml:space="preserve">assets </w:t>
      </w:r>
      <w:r w:rsidR="007D2B93">
        <w:rPr>
          <w:szCs w:val="24"/>
        </w:rPr>
        <w:t>(A,</w:t>
      </w:r>
      <w:r w:rsidR="002E7D75">
        <w:rPr>
          <w:szCs w:val="24"/>
        </w:rPr>
        <w:t xml:space="preserve"> </w:t>
      </w:r>
      <w:r w:rsidR="007D2B93">
        <w:rPr>
          <w:szCs w:val="24"/>
        </w:rPr>
        <w:t xml:space="preserve">B &amp; C </w:t>
      </w:r>
      <w:proofErr w:type="gramStart"/>
      <w:r w:rsidR="007D2B93">
        <w:rPr>
          <w:szCs w:val="24"/>
        </w:rPr>
        <w:t>roads</w:t>
      </w:r>
      <w:proofErr w:type="gramEnd"/>
      <w:r w:rsidR="007D2B93">
        <w:rPr>
          <w:szCs w:val="24"/>
        </w:rPr>
        <w:t xml:space="preserve"> and footway) </w:t>
      </w:r>
      <w:r>
        <w:rPr>
          <w:szCs w:val="24"/>
        </w:rPr>
        <w:t xml:space="preserve">that were the focus of </w:t>
      </w:r>
      <w:r w:rsidR="002E7D75">
        <w:rPr>
          <w:szCs w:val="24"/>
        </w:rPr>
        <w:t xml:space="preserve">our </w:t>
      </w:r>
      <w:r>
        <w:rPr>
          <w:szCs w:val="24"/>
        </w:rPr>
        <w:t>attention during Phase 1</w:t>
      </w:r>
      <w:r w:rsidR="00234234">
        <w:rPr>
          <w:szCs w:val="24"/>
        </w:rPr>
        <w:t>.  O</w:t>
      </w:r>
      <w:r w:rsidR="0098053B">
        <w:rPr>
          <w:szCs w:val="24"/>
        </w:rPr>
        <w:t xml:space="preserve">ur </w:t>
      </w:r>
      <w:r>
        <w:rPr>
          <w:szCs w:val="24"/>
        </w:rPr>
        <w:t xml:space="preserve">A, B &amp; C roads </w:t>
      </w:r>
      <w:r w:rsidR="0098053B">
        <w:rPr>
          <w:szCs w:val="24"/>
        </w:rPr>
        <w:t xml:space="preserve">are now in a better </w:t>
      </w:r>
      <w:r w:rsidR="007D2B93">
        <w:rPr>
          <w:szCs w:val="24"/>
        </w:rPr>
        <w:t>condition</w:t>
      </w:r>
      <w:r w:rsidR="0098053B">
        <w:rPr>
          <w:szCs w:val="24"/>
        </w:rPr>
        <w:t xml:space="preserve"> tha</w:t>
      </w:r>
      <w:r w:rsidR="00527145">
        <w:rPr>
          <w:szCs w:val="24"/>
        </w:rPr>
        <w:t>n</w:t>
      </w:r>
      <w:r w:rsidR="0098053B">
        <w:rPr>
          <w:szCs w:val="24"/>
        </w:rPr>
        <w:t xml:space="preserve"> they were in 2009.</w:t>
      </w:r>
      <w:r w:rsidR="007D2B93">
        <w:rPr>
          <w:szCs w:val="24"/>
        </w:rPr>
        <w:t xml:space="preserve">  At the same </w:t>
      </w:r>
      <w:r w:rsidR="002E7D75">
        <w:rPr>
          <w:szCs w:val="24"/>
        </w:rPr>
        <w:t>time,</w:t>
      </w:r>
      <w:r w:rsidR="007D2B93">
        <w:rPr>
          <w:szCs w:val="24"/>
        </w:rPr>
        <w:t xml:space="preserve"> we have been able to maintain most other </w:t>
      </w:r>
      <w:r>
        <w:rPr>
          <w:szCs w:val="24"/>
        </w:rPr>
        <w:t xml:space="preserve">assets </w:t>
      </w:r>
      <w:r w:rsidR="007D2B93">
        <w:rPr>
          <w:szCs w:val="24"/>
        </w:rPr>
        <w:t xml:space="preserve">in </w:t>
      </w:r>
      <w:r w:rsidR="00527145">
        <w:rPr>
          <w:szCs w:val="24"/>
        </w:rPr>
        <w:t xml:space="preserve">a </w:t>
      </w:r>
      <w:r w:rsidR="007D2B93">
        <w:rPr>
          <w:szCs w:val="24"/>
        </w:rPr>
        <w:t xml:space="preserve">similar condition to what they were </w:t>
      </w:r>
      <w:r w:rsidR="00234234">
        <w:rPr>
          <w:szCs w:val="24"/>
        </w:rPr>
        <w:t>i</w:t>
      </w:r>
      <w:r w:rsidR="007D2B93">
        <w:rPr>
          <w:szCs w:val="24"/>
        </w:rPr>
        <w:t>n 2015.</w:t>
      </w:r>
    </w:p>
    <w:p w14:paraId="552859EC" w14:textId="77777777" w:rsidR="007D2B93" w:rsidRDefault="007D2B93" w:rsidP="0098053B">
      <w:pPr>
        <w:autoSpaceDE w:val="0"/>
        <w:autoSpaceDN w:val="0"/>
        <w:adjustRightInd w:val="0"/>
        <w:spacing w:after="0"/>
        <w:jc w:val="both"/>
        <w:rPr>
          <w:szCs w:val="24"/>
        </w:rPr>
      </w:pPr>
    </w:p>
    <w:p w14:paraId="17E2248A" w14:textId="38494A56" w:rsidR="007452B1" w:rsidRDefault="00234234" w:rsidP="0098053B">
      <w:pPr>
        <w:autoSpaceDE w:val="0"/>
        <w:autoSpaceDN w:val="0"/>
        <w:adjustRightInd w:val="0"/>
        <w:spacing w:after="0"/>
        <w:jc w:val="both"/>
        <w:rPr>
          <w:szCs w:val="24"/>
        </w:rPr>
      </w:pPr>
      <w:r>
        <w:rPr>
          <w:szCs w:val="24"/>
        </w:rPr>
        <w:t>W</w:t>
      </w:r>
      <w:r w:rsidR="00E265EF">
        <w:rPr>
          <w:szCs w:val="24"/>
        </w:rPr>
        <w:t xml:space="preserve">e undertook a review </w:t>
      </w:r>
      <w:r>
        <w:rPr>
          <w:szCs w:val="24"/>
        </w:rPr>
        <w:t xml:space="preserve">of </w:t>
      </w:r>
      <w:r w:rsidR="005456A7">
        <w:rPr>
          <w:szCs w:val="24"/>
        </w:rPr>
        <w:t>Phase 1</w:t>
      </w:r>
      <w:r>
        <w:rPr>
          <w:szCs w:val="24"/>
        </w:rPr>
        <w:t xml:space="preserve"> and used this to update </w:t>
      </w:r>
      <w:r w:rsidR="0098053B">
        <w:rPr>
          <w:szCs w:val="24"/>
        </w:rPr>
        <w:t>our approach to Phase 2</w:t>
      </w:r>
      <w:r w:rsidR="005456A7">
        <w:rPr>
          <w:szCs w:val="24"/>
        </w:rPr>
        <w:t>,</w:t>
      </w:r>
      <w:r w:rsidR="007D2B93">
        <w:rPr>
          <w:szCs w:val="24"/>
        </w:rPr>
        <w:t xml:space="preserve"> </w:t>
      </w:r>
      <w:r>
        <w:rPr>
          <w:szCs w:val="24"/>
        </w:rPr>
        <w:t xml:space="preserve">which Cabinet approved at their </w:t>
      </w:r>
      <w:r w:rsidR="009A7F91">
        <w:rPr>
          <w:szCs w:val="24"/>
        </w:rPr>
        <w:t>December 2020</w:t>
      </w:r>
      <w:r>
        <w:rPr>
          <w:szCs w:val="24"/>
        </w:rPr>
        <w:t xml:space="preserve"> meeting.  The </w:t>
      </w:r>
      <w:proofErr w:type="gramStart"/>
      <w:r>
        <w:rPr>
          <w:szCs w:val="24"/>
        </w:rPr>
        <w:t>main focus</w:t>
      </w:r>
      <w:proofErr w:type="gramEnd"/>
      <w:r>
        <w:rPr>
          <w:szCs w:val="24"/>
        </w:rPr>
        <w:t xml:space="preserve"> of Phase 2 will be </w:t>
      </w:r>
      <w:r w:rsidR="005456A7">
        <w:rPr>
          <w:szCs w:val="24"/>
        </w:rPr>
        <w:t xml:space="preserve">to maintain the A, B, C road condition, </w:t>
      </w:r>
      <w:r w:rsidR="005115ED">
        <w:rPr>
          <w:szCs w:val="24"/>
        </w:rPr>
        <w:t xml:space="preserve">and also </w:t>
      </w:r>
      <w:r w:rsidR="005456A7">
        <w:rPr>
          <w:szCs w:val="24"/>
        </w:rPr>
        <w:t xml:space="preserve">improve </w:t>
      </w:r>
      <w:r>
        <w:rPr>
          <w:szCs w:val="24"/>
        </w:rPr>
        <w:t xml:space="preserve">the urban </w:t>
      </w:r>
      <w:r w:rsidR="005456A7">
        <w:rPr>
          <w:szCs w:val="24"/>
        </w:rPr>
        <w:t xml:space="preserve">and rural </w:t>
      </w:r>
      <w:r>
        <w:rPr>
          <w:szCs w:val="24"/>
        </w:rPr>
        <w:t>unclassified road networks</w:t>
      </w:r>
      <w:r w:rsidR="005456A7">
        <w:rPr>
          <w:szCs w:val="24"/>
        </w:rPr>
        <w:t xml:space="preserve"> and footways, whilst managing the other asset types within a level of acceptable risk</w:t>
      </w:r>
      <w:r w:rsidR="009A7F91">
        <w:rPr>
          <w:szCs w:val="24"/>
        </w:rPr>
        <w:t>.</w:t>
      </w:r>
      <w:r>
        <w:rPr>
          <w:szCs w:val="24"/>
        </w:rPr>
        <w:t xml:space="preserve">  </w:t>
      </w:r>
    </w:p>
    <w:p w14:paraId="57D42B59" w14:textId="7FD20D38" w:rsidR="009A7F91" w:rsidRDefault="009A7F91" w:rsidP="0098053B">
      <w:pPr>
        <w:autoSpaceDE w:val="0"/>
        <w:autoSpaceDN w:val="0"/>
        <w:adjustRightInd w:val="0"/>
        <w:spacing w:after="0"/>
        <w:jc w:val="both"/>
        <w:rPr>
          <w:szCs w:val="24"/>
        </w:rPr>
      </w:pPr>
    </w:p>
    <w:p w14:paraId="37A34C64" w14:textId="3F3310BA" w:rsidR="009A7F91" w:rsidRDefault="009A7F91" w:rsidP="0098053B">
      <w:pPr>
        <w:autoSpaceDE w:val="0"/>
        <w:autoSpaceDN w:val="0"/>
        <w:adjustRightInd w:val="0"/>
        <w:spacing w:after="0"/>
        <w:jc w:val="both"/>
        <w:rPr>
          <w:szCs w:val="24"/>
        </w:rPr>
      </w:pPr>
      <w:r>
        <w:rPr>
          <w:szCs w:val="24"/>
        </w:rPr>
        <w:t>This document:</w:t>
      </w:r>
    </w:p>
    <w:p w14:paraId="05192053" w14:textId="48C05019" w:rsidR="009A7F91" w:rsidRPr="009A7F91" w:rsidRDefault="0098053B"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Pr>
          <w:szCs w:val="24"/>
        </w:rPr>
        <w:t xml:space="preserve">outlines </w:t>
      </w:r>
      <w:r w:rsidR="009A7F91" w:rsidRPr="009A7F91">
        <w:rPr>
          <w:szCs w:val="24"/>
        </w:rPr>
        <w:t xml:space="preserve">the current challenge and changes that have shaped the review of the original TAMP proposals and led to the proposals for TAMP phase 2 </w:t>
      </w:r>
    </w:p>
    <w:p w14:paraId="1D98F4BB" w14:textId="650472CD" w:rsidR="009A7F91" w:rsidRPr="009A7F91" w:rsidRDefault="009A7F91"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sidRPr="009A7F91">
        <w:rPr>
          <w:szCs w:val="24"/>
        </w:rPr>
        <w:t>define</w:t>
      </w:r>
      <w:r w:rsidR="0098053B">
        <w:rPr>
          <w:szCs w:val="24"/>
        </w:rPr>
        <w:t>s</w:t>
      </w:r>
      <w:r w:rsidRPr="009A7F91">
        <w:rPr>
          <w:szCs w:val="24"/>
        </w:rPr>
        <w:t xml:space="preserve"> our approach to assessing funding need through Lifecycle Planning, informed by monitoring performance </w:t>
      </w:r>
    </w:p>
    <w:p w14:paraId="586A52BB" w14:textId="76B50693" w:rsidR="0098053B" w:rsidRPr="0098053B" w:rsidRDefault="009A7F91"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sidRPr="009A7F91">
        <w:rPr>
          <w:szCs w:val="24"/>
        </w:rPr>
        <w:t xml:space="preserve">indicates our commitment to maintaining performance through benchmarking with other authorities and considering customer </w:t>
      </w:r>
      <w:r w:rsidR="007D2B93" w:rsidRPr="009A7F91">
        <w:rPr>
          <w:szCs w:val="24"/>
        </w:rPr>
        <w:t>feedback</w:t>
      </w:r>
    </w:p>
    <w:p w14:paraId="5D24DF06" w14:textId="77777777" w:rsidR="0098053B" w:rsidRPr="0098053B" w:rsidRDefault="0098053B"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Pr>
          <w:szCs w:val="24"/>
        </w:rPr>
        <w:t xml:space="preserve">gives a commitment to incorporate more performance management reporting as part of the annual review process </w:t>
      </w:r>
    </w:p>
    <w:p w14:paraId="58B64F41" w14:textId="19CA2905" w:rsidR="009A7F91" w:rsidRPr="00DD16EC" w:rsidRDefault="0098053B"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Pr>
          <w:szCs w:val="24"/>
        </w:rPr>
        <w:t xml:space="preserve">outlines </w:t>
      </w:r>
      <w:r w:rsidR="009A7F91">
        <w:rPr>
          <w:szCs w:val="24"/>
        </w:rPr>
        <w:t>the approach to the management of risk</w:t>
      </w:r>
    </w:p>
    <w:p w14:paraId="09FA3632" w14:textId="13F44224" w:rsidR="0098053B" w:rsidRPr="007D2B93" w:rsidRDefault="0098053B" w:rsidP="0098053B">
      <w:pPr>
        <w:pStyle w:val="ListParagraph"/>
        <w:numPr>
          <w:ilvl w:val="0"/>
          <w:numId w:val="37"/>
        </w:numPr>
        <w:autoSpaceDE w:val="0"/>
        <w:autoSpaceDN w:val="0"/>
        <w:adjustRightInd w:val="0"/>
        <w:spacing w:after="0"/>
        <w:jc w:val="both"/>
        <w:rPr>
          <w:rFonts w:ascii="TT5ECDAEo00" w:hAnsi="TT5ECDAEo00" w:cs="TT5ECDAEo00"/>
          <w:color w:val="000000" w:themeColor="text1"/>
          <w:szCs w:val="24"/>
        </w:rPr>
      </w:pPr>
      <w:r>
        <w:rPr>
          <w:szCs w:val="24"/>
        </w:rPr>
        <w:t xml:space="preserve">outlines </w:t>
      </w:r>
      <w:r w:rsidR="00DD16EC">
        <w:rPr>
          <w:szCs w:val="24"/>
        </w:rPr>
        <w:t>the service standards by which we will monitor our performance</w:t>
      </w:r>
    </w:p>
    <w:p w14:paraId="6B4471C2" w14:textId="77777777" w:rsidR="005456A7" w:rsidRPr="005456A7" w:rsidRDefault="007D2B93" w:rsidP="005456A7">
      <w:pPr>
        <w:pStyle w:val="ListParagraph"/>
        <w:numPr>
          <w:ilvl w:val="0"/>
          <w:numId w:val="37"/>
        </w:numPr>
        <w:autoSpaceDE w:val="0"/>
        <w:autoSpaceDN w:val="0"/>
        <w:adjustRightInd w:val="0"/>
        <w:spacing w:after="0"/>
        <w:jc w:val="both"/>
        <w:rPr>
          <w:szCs w:val="24"/>
        </w:rPr>
      </w:pPr>
      <w:r w:rsidRPr="007D2B93">
        <w:rPr>
          <w:szCs w:val="24"/>
        </w:rPr>
        <w:t xml:space="preserve">gives an undertaking </w:t>
      </w:r>
      <w:r w:rsidRPr="007D2B93">
        <w:rPr>
          <w:rFonts w:ascii="TT5ECDAEo00" w:hAnsi="TT5ECDAEo00" w:cs="TT5ECDAEo00"/>
          <w:color w:val="000000" w:themeColor="text1"/>
          <w:szCs w:val="24"/>
        </w:rPr>
        <w:t xml:space="preserve">to </w:t>
      </w:r>
      <w:r w:rsidR="0098053B" w:rsidRPr="007D2B93">
        <w:rPr>
          <w:rFonts w:cs="Arial"/>
          <w:bCs/>
          <w:color w:val="000000" w:themeColor="text1"/>
          <w:szCs w:val="24"/>
        </w:rPr>
        <w:t>continue to be transparent in everything we do so we can be held responsible for our stewardship of the highway and transport assets covered by the TAMP.</w:t>
      </w:r>
    </w:p>
    <w:p w14:paraId="7AC15F5E" w14:textId="45361857" w:rsidR="007452B1" w:rsidRPr="005456A7" w:rsidRDefault="007452B1" w:rsidP="009D3C5F">
      <w:pPr>
        <w:pStyle w:val="ListParagraph"/>
        <w:numPr>
          <w:ilvl w:val="0"/>
          <w:numId w:val="41"/>
        </w:numPr>
        <w:autoSpaceDE w:val="0"/>
        <w:autoSpaceDN w:val="0"/>
        <w:adjustRightInd w:val="0"/>
        <w:spacing w:after="0"/>
        <w:ind w:left="357" w:hanging="357"/>
        <w:jc w:val="both"/>
        <w:rPr>
          <w:szCs w:val="24"/>
        </w:rPr>
      </w:pPr>
      <w:r w:rsidRPr="005456A7">
        <w:rPr>
          <w:rFonts w:cs="Arial"/>
          <w:b/>
          <w:color w:val="000000" w:themeColor="text1"/>
          <w:szCs w:val="24"/>
        </w:rPr>
        <w:lastRenderedPageBreak/>
        <w:t>Introduction</w:t>
      </w:r>
    </w:p>
    <w:p w14:paraId="67749886" w14:textId="77777777" w:rsidR="0032598C" w:rsidRPr="00842536" w:rsidRDefault="0032598C" w:rsidP="0032598C">
      <w:pPr>
        <w:autoSpaceDE w:val="0"/>
        <w:autoSpaceDN w:val="0"/>
        <w:adjustRightInd w:val="0"/>
        <w:spacing w:after="0"/>
        <w:jc w:val="both"/>
        <w:rPr>
          <w:rFonts w:cs="Arial"/>
          <w:color w:val="000000" w:themeColor="text1"/>
        </w:rPr>
      </w:pPr>
      <w:r w:rsidRPr="00842536">
        <w:rPr>
          <w:rFonts w:cs="Arial"/>
          <w:color w:val="000000" w:themeColor="text1"/>
        </w:rPr>
        <w:t xml:space="preserve">The information below provides a brief resume of the </w:t>
      </w:r>
      <w:r w:rsidR="00B62B32" w:rsidRPr="00842536">
        <w:rPr>
          <w:rFonts w:cs="Arial"/>
          <w:color w:val="000000" w:themeColor="text1"/>
        </w:rPr>
        <w:t>key</w:t>
      </w:r>
      <w:r w:rsidRPr="00842536">
        <w:rPr>
          <w:rFonts w:cs="Arial"/>
          <w:color w:val="000000" w:themeColor="text1"/>
        </w:rPr>
        <w:t xml:space="preserve"> points of the </w:t>
      </w:r>
      <w:r w:rsidRPr="00842536">
        <w:rPr>
          <w:rFonts w:cs="Arial"/>
          <w:color w:val="000000" w:themeColor="text1"/>
          <w:szCs w:val="24"/>
        </w:rPr>
        <w:t>Transport Asset Management Plan</w:t>
      </w:r>
      <w:r w:rsidR="00EC5033" w:rsidRPr="00842536">
        <w:rPr>
          <w:rFonts w:cs="Arial"/>
          <w:color w:val="000000" w:themeColor="text1"/>
          <w:szCs w:val="24"/>
        </w:rPr>
        <w:t xml:space="preserve"> (TAMP)</w:t>
      </w:r>
      <w:r w:rsidRPr="00842536">
        <w:rPr>
          <w:rFonts w:cs="Arial"/>
          <w:color w:val="000000" w:themeColor="text1"/>
          <w:szCs w:val="24"/>
        </w:rPr>
        <w:t xml:space="preserve"> 2015-2030</w:t>
      </w:r>
      <w:r w:rsidR="00EC5033" w:rsidRPr="00842536">
        <w:rPr>
          <w:rFonts w:cs="Arial"/>
          <w:color w:val="000000" w:themeColor="text1"/>
          <w:szCs w:val="24"/>
        </w:rPr>
        <w:t>.</w:t>
      </w:r>
    </w:p>
    <w:p w14:paraId="7F0C44C9" w14:textId="77777777" w:rsidR="0032598C" w:rsidRPr="00842536" w:rsidRDefault="0032598C" w:rsidP="00A40D83">
      <w:pPr>
        <w:autoSpaceDE w:val="0"/>
        <w:autoSpaceDN w:val="0"/>
        <w:adjustRightInd w:val="0"/>
        <w:spacing w:after="0"/>
        <w:jc w:val="both"/>
        <w:rPr>
          <w:rFonts w:cs="Arial"/>
          <w:color w:val="000000" w:themeColor="text1"/>
          <w:szCs w:val="24"/>
        </w:rPr>
      </w:pPr>
    </w:p>
    <w:p w14:paraId="14B7D9BE" w14:textId="230BB7AB" w:rsidR="00201402" w:rsidRPr="00842536" w:rsidRDefault="00A40D83" w:rsidP="00A40D83">
      <w:pPr>
        <w:autoSpaceDE w:val="0"/>
        <w:autoSpaceDN w:val="0"/>
        <w:adjustRightInd w:val="0"/>
        <w:spacing w:after="0"/>
        <w:jc w:val="both"/>
        <w:rPr>
          <w:rFonts w:cs="Arial"/>
          <w:color w:val="000000" w:themeColor="text1"/>
        </w:rPr>
      </w:pPr>
      <w:r w:rsidRPr="00842536">
        <w:rPr>
          <w:rFonts w:cs="Arial"/>
          <w:color w:val="000000" w:themeColor="text1"/>
          <w:szCs w:val="24"/>
        </w:rPr>
        <w:t xml:space="preserve">The </w:t>
      </w:r>
      <w:r w:rsidR="0032598C" w:rsidRPr="00842536">
        <w:rPr>
          <w:rFonts w:cs="Arial"/>
          <w:color w:val="000000" w:themeColor="text1"/>
          <w:szCs w:val="24"/>
        </w:rPr>
        <w:t>TAMP</w:t>
      </w:r>
      <w:r w:rsidRPr="00842536">
        <w:rPr>
          <w:rFonts w:cs="Arial"/>
          <w:color w:val="000000" w:themeColor="text1"/>
          <w:szCs w:val="24"/>
        </w:rPr>
        <w:t xml:space="preserve"> was approved by the Cabinet Member for Highways and Transport on 10</w:t>
      </w:r>
      <w:r w:rsidRPr="00842536">
        <w:rPr>
          <w:rFonts w:cs="Arial"/>
          <w:color w:val="000000" w:themeColor="text1"/>
          <w:sz w:val="16"/>
          <w:szCs w:val="16"/>
        </w:rPr>
        <w:t xml:space="preserve"> </w:t>
      </w:r>
      <w:r w:rsidRPr="00842536">
        <w:rPr>
          <w:rFonts w:cs="Arial"/>
          <w:color w:val="000000" w:themeColor="text1"/>
          <w:szCs w:val="24"/>
        </w:rPr>
        <w:t>June 2014 and</w:t>
      </w:r>
      <w:r w:rsidR="00201402" w:rsidRPr="00842536">
        <w:rPr>
          <w:rFonts w:cs="Arial"/>
          <w:color w:val="000000" w:themeColor="text1"/>
        </w:rPr>
        <w:t xml:space="preserve"> identifie</w:t>
      </w:r>
      <w:r w:rsidR="007452B1" w:rsidRPr="00842536">
        <w:rPr>
          <w:rFonts w:cs="Arial"/>
          <w:color w:val="000000" w:themeColor="text1"/>
        </w:rPr>
        <w:t>d</w:t>
      </w:r>
      <w:r w:rsidR="00201402" w:rsidRPr="00842536">
        <w:rPr>
          <w:rFonts w:cs="Arial"/>
          <w:color w:val="000000" w:themeColor="text1"/>
        </w:rPr>
        <w:t xml:space="preserve"> the key strategic priorities of </w:t>
      </w:r>
      <w:r w:rsidR="006A1F81" w:rsidRPr="00842536">
        <w:rPr>
          <w:rFonts w:cs="Arial"/>
          <w:color w:val="000000" w:themeColor="text1"/>
        </w:rPr>
        <w:t>the</w:t>
      </w:r>
      <w:r w:rsidR="00201402" w:rsidRPr="00842536">
        <w:rPr>
          <w:rFonts w:cs="Arial"/>
          <w:color w:val="000000" w:themeColor="text1"/>
        </w:rPr>
        <w:t xml:space="preserve"> </w:t>
      </w:r>
      <w:r w:rsidR="00612957" w:rsidRPr="00842536">
        <w:rPr>
          <w:rFonts w:cs="Arial"/>
          <w:color w:val="000000" w:themeColor="text1"/>
        </w:rPr>
        <w:t>c</w:t>
      </w:r>
      <w:r w:rsidR="00201402" w:rsidRPr="00842536">
        <w:rPr>
          <w:rFonts w:cs="Arial"/>
          <w:color w:val="000000" w:themeColor="text1"/>
        </w:rPr>
        <w:t xml:space="preserve">ounty </w:t>
      </w:r>
      <w:r w:rsidR="00612957" w:rsidRPr="00842536">
        <w:rPr>
          <w:rFonts w:cs="Arial"/>
          <w:color w:val="000000" w:themeColor="text1"/>
        </w:rPr>
        <w:t>c</w:t>
      </w:r>
      <w:r w:rsidR="00201402" w:rsidRPr="00842536">
        <w:rPr>
          <w:rFonts w:cs="Arial"/>
          <w:color w:val="000000" w:themeColor="text1"/>
        </w:rPr>
        <w:t>ouncil, as the highway authority for Lancashire, during the period 2015/16 to 2029/30.</w:t>
      </w:r>
    </w:p>
    <w:p w14:paraId="6C291846" w14:textId="77777777" w:rsidR="00201402" w:rsidRPr="00842536" w:rsidRDefault="00201402" w:rsidP="00201402">
      <w:pPr>
        <w:spacing w:after="0"/>
        <w:jc w:val="both"/>
        <w:rPr>
          <w:rFonts w:cs="Arial"/>
          <w:color w:val="000000" w:themeColor="text1"/>
        </w:rPr>
      </w:pPr>
    </w:p>
    <w:p w14:paraId="7F9535DA" w14:textId="77777777" w:rsidR="007452B1" w:rsidRPr="00842536" w:rsidRDefault="007452B1" w:rsidP="00201402">
      <w:pPr>
        <w:spacing w:after="0"/>
        <w:jc w:val="both"/>
        <w:rPr>
          <w:rFonts w:cs="Arial"/>
          <w:color w:val="000000" w:themeColor="text1"/>
        </w:rPr>
      </w:pPr>
      <w:r w:rsidRPr="00842536">
        <w:rPr>
          <w:rFonts w:cs="Arial"/>
          <w:color w:val="000000" w:themeColor="text1"/>
        </w:rPr>
        <w:t xml:space="preserve">The TAMP recognised </w:t>
      </w:r>
      <w:r w:rsidR="00D81FB2" w:rsidRPr="00842536">
        <w:rPr>
          <w:rFonts w:cs="Arial"/>
          <w:color w:val="000000" w:themeColor="text1"/>
        </w:rPr>
        <w:t xml:space="preserve">that </w:t>
      </w:r>
      <w:r w:rsidRPr="00842536">
        <w:rPr>
          <w:rFonts w:cs="Arial"/>
          <w:color w:val="000000" w:themeColor="text1"/>
        </w:rPr>
        <w:t xml:space="preserve">due to </w:t>
      </w:r>
      <w:r w:rsidR="008B676E" w:rsidRPr="00842536">
        <w:rPr>
          <w:rFonts w:cs="Arial"/>
          <w:color w:val="000000" w:themeColor="text1"/>
        </w:rPr>
        <w:t xml:space="preserve">ongoing </w:t>
      </w:r>
      <w:r w:rsidRPr="00842536">
        <w:rPr>
          <w:rFonts w:cs="Arial"/>
          <w:color w:val="000000" w:themeColor="text1"/>
        </w:rPr>
        <w:t xml:space="preserve">financial constraints </w:t>
      </w:r>
      <w:r w:rsidR="005C688D" w:rsidRPr="00842536">
        <w:rPr>
          <w:rFonts w:cs="Arial"/>
          <w:color w:val="000000" w:themeColor="text1"/>
        </w:rPr>
        <w:t>the county council could</w:t>
      </w:r>
      <w:r w:rsidR="00A0734E" w:rsidRPr="00842536">
        <w:rPr>
          <w:rFonts w:cs="Arial"/>
          <w:color w:val="000000" w:themeColor="text1"/>
        </w:rPr>
        <w:t xml:space="preserve"> no longer </w:t>
      </w:r>
      <w:r w:rsidR="005C688D" w:rsidRPr="00842536">
        <w:rPr>
          <w:rFonts w:cs="Arial"/>
          <w:color w:val="000000" w:themeColor="text1"/>
        </w:rPr>
        <w:t xml:space="preserve">simultaneously </w:t>
      </w:r>
      <w:r w:rsidRPr="00842536">
        <w:rPr>
          <w:rFonts w:cs="Arial"/>
          <w:color w:val="000000" w:themeColor="text1"/>
        </w:rPr>
        <w:t xml:space="preserve">maintain all </w:t>
      </w:r>
      <w:r w:rsidR="00ED2174" w:rsidRPr="00842536">
        <w:rPr>
          <w:rFonts w:cs="Arial"/>
          <w:color w:val="000000" w:themeColor="text1"/>
        </w:rPr>
        <w:t>its</w:t>
      </w:r>
      <w:r w:rsidRPr="00842536">
        <w:rPr>
          <w:rFonts w:cs="Arial"/>
          <w:color w:val="000000" w:themeColor="text1"/>
        </w:rPr>
        <w:t xml:space="preserve"> </w:t>
      </w:r>
      <w:r w:rsidR="00080D03" w:rsidRPr="00842536">
        <w:rPr>
          <w:rFonts w:cs="Arial"/>
          <w:color w:val="000000" w:themeColor="text1"/>
        </w:rPr>
        <w:t xml:space="preserve">transport </w:t>
      </w:r>
      <w:r w:rsidRPr="00842536">
        <w:rPr>
          <w:rFonts w:cs="Arial"/>
          <w:color w:val="000000" w:themeColor="text1"/>
        </w:rPr>
        <w:t xml:space="preserve">assets to the same standard </w:t>
      </w:r>
      <w:r w:rsidR="00080D03" w:rsidRPr="00842536">
        <w:rPr>
          <w:rFonts w:cs="Arial"/>
          <w:color w:val="000000" w:themeColor="text1"/>
        </w:rPr>
        <w:t>as previously</w:t>
      </w:r>
      <w:r w:rsidRPr="00842536">
        <w:rPr>
          <w:rFonts w:cs="Arial"/>
          <w:color w:val="000000" w:themeColor="text1"/>
        </w:rPr>
        <w:t>.</w:t>
      </w:r>
    </w:p>
    <w:p w14:paraId="1A3FF94A" w14:textId="77777777" w:rsidR="007452B1" w:rsidRDefault="007452B1" w:rsidP="00201402">
      <w:pPr>
        <w:spacing w:after="0"/>
        <w:jc w:val="both"/>
        <w:rPr>
          <w:rFonts w:cs="Arial"/>
          <w:color w:val="000000" w:themeColor="text1"/>
        </w:rPr>
      </w:pPr>
    </w:p>
    <w:p w14:paraId="234B408F" w14:textId="39EFE4C3" w:rsidR="00884895" w:rsidRDefault="007452B1" w:rsidP="007452B1">
      <w:pPr>
        <w:spacing w:after="0"/>
        <w:jc w:val="both"/>
        <w:rPr>
          <w:color w:val="000000" w:themeColor="text1"/>
        </w:rPr>
      </w:pPr>
      <w:r w:rsidRPr="00197B6B">
        <w:rPr>
          <w:color w:val="000000" w:themeColor="text1"/>
        </w:rPr>
        <w:t>A fundamental princip</w:t>
      </w:r>
      <w:r>
        <w:rPr>
          <w:color w:val="000000" w:themeColor="text1"/>
        </w:rPr>
        <w:t>le</w:t>
      </w:r>
      <w:r w:rsidRPr="00197B6B">
        <w:rPr>
          <w:color w:val="000000" w:themeColor="text1"/>
        </w:rPr>
        <w:t xml:space="preserve"> of th</w:t>
      </w:r>
      <w:r>
        <w:rPr>
          <w:color w:val="000000" w:themeColor="text1"/>
        </w:rPr>
        <w:t>e TAMP wa</w:t>
      </w:r>
      <w:r w:rsidRPr="00197B6B">
        <w:rPr>
          <w:color w:val="000000" w:themeColor="text1"/>
        </w:rPr>
        <w:t>s to move away from the philosophy of tackling 'worst first</w:t>
      </w:r>
      <w:r w:rsidR="002E7D75">
        <w:rPr>
          <w:color w:val="000000" w:themeColor="text1"/>
        </w:rPr>
        <w:t>'</w:t>
      </w:r>
      <w:r w:rsidRPr="00197B6B">
        <w:rPr>
          <w:color w:val="000000" w:themeColor="text1"/>
        </w:rPr>
        <w:t xml:space="preserve"> </w:t>
      </w:r>
      <w:r w:rsidR="00080D03">
        <w:rPr>
          <w:color w:val="000000" w:themeColor="text1"/>
        </w:rPr>
        <w:t xml:space="preserve">in favour of an approach </w:t>
      </w:r>
      <w:r w:rsidRPr="00197B6B">
        <w:rPr>
          <w:color w:val="000000" w:themeColor="text1"/>
        </w:rPr>
        <w:t xml:space="preserve">whereby the underlying condition of the network </w:t>
      </w:r>
      <w:r w:rsidR="00884895">
        <w:rPr>
          <w:color w:val="000000" w:themeColor="text1"/>
        </w:rPr>
        <w:t>wa</w:t>
      </w:r>
      <w:r w:rsidRPr="00197B6B">
        <w:rPr>
          <w:color w:val="000000" w:themeColor="text1"/>
        </w:rPr>
        <w:t xml:space="preserve">s addressed </w:t>
      </w:r>
      <w:r w:rsidR="008B676E">
        <w:rPr>
          <w:color w:val="000000" w:themeColor="text1"/>
        </w:rPr>
        <w:t>via</w:t>
      </w:r>
      <w:r w:rsidR="00080D03">
        <w:rPr>
          <w:color w:val="000000" w:themeColor="text1"/>
        </w:rPr>
        <w:t xml:space="preserve"> </w:t>
      </w:r>
      <w:r w:rsidR="00A0734E">
        <w:rPr>
          <w:color w:val="000000" w:themeColor="text1"/>
        </w:rPr>
        <w:t xml:space="preserve">the use of </w:t>
      </w:r>
      <w:r w:rsidR="0030220A">
        <w:rPr>
          <w:color w:val="000000" w:themeColor="text1"/>
        </w:rPr>
        <w:t xml:space="preserve">early intervention </w:t>
      </w:r>
      <w:r w:rsidR="00080D03">
        <w:rPr>
          <w:color w:val="000000" w:themeColor="text1"/>
        </w:rPr>
        <w:t>preventative mainten</w:t>
      </w:r>
      <w:r w:rsidR="005C688D">
        <w:rPr>
          <w:color w:val="000000" w:themeColor="text1"/>
        </w:rPr>
        <w:t>ance strategies</w:t>
      </w:r>
      <w:r w:rsidR="00080D03">
        <w:rPr>
          <w:color w:val="000000" w:themeColor="text1"/>
        </w:rPr>
        <w:t xml:space="preserve"> </w:t>
      </w:r>
      <w:r w:rsidRPr="00197B6B">
        <w:rPr>
          <w:color w:val="000000" w:themeColor="text1"/>
        </w:rPr>
        <w:t>as we believe</w:t>
      </w:r>
      <w:r w:rsidR="00884895">
        <w:rPr>
          <w:color w:val="000000" w:themeColor="text1"/>
        </w:rPr>
        <w:t>d</w:t>
      </w:r>
      <w:r w:rsidRPr="00197B6B">
        <w:rPr>
          <w:color w:val="000000" w:themeColor="text1"/>
        </w:rPr>
        <w:t xml:space="preserve"> this w</w:t>
      </w:r>
      <w:r w:rsidR="00884895">
        <w:rPr>
          <w:color w:val="000000" w:themeColor="text1"/>
        </w:rPr>
        <w:t xml:space="preserve">ould </w:t>
      </w:r>
      <w:r w:rsidRPr="00197B6B">
        <w:rPr>
          <w:color w:val="000000" w:themeColor="text1"/>
        </w:rPr>
        <w:t>enable us to make more efficient use of our resources</w:t>
      </w:r>
      <w:r w:rsidR="00884895">
        <w:rPr>
          <w:color w:val="000000" w:themeColor="text1"/>
        </w:rPr>
        <w:t>.</w:t>
      </w:r>
    </w:p>
    <w:p w14:paraId="18F87C07" w14:textId="77777777" w:rsidR="00884895" w:rsidRDefault="00884895" w:rsidP="007452B1">
      <w:pPr>
        <w:spacing w:after="0"/>
        <w:jc w:val="both"/>
        <w:rPr>
          <w:color w:val="000000" w:themeColor="text1"/>
        </w:rPr>
      </w:pPr>
    </w:p>
    <w:p w14:paraId="2A9D0A49" w14:textId="77777777" w:rsidR="0030220A" w:rsidRDefault="007452B1" w:rsidP="0030220A">
      <w:pPr>
        <w:spacing w:after="0"/>
        <w:jc w:val="both"/>
        <w:rPr>
          <w:color w:val="000000" w:themeColor="text1"/>
        </w:rPr>
      </w:pPr>
      <w:r w:rsidRPr="00197B6B">
        <w:rPr>
          <w:color w:val="000000" w:themeColor="text1"/>
        </w:rPr>
        <w:t>The TAMP adopt</w:t>
      </w:r>
      <w:r>
        <w:rPr>
          <w:color w:val="000000" w:themeColor="text1"/>
        </w:rPr>
        <w:t>ed</w:t>
      </w:r>
      <w:r w:rsidRPr="00197B6B">
        <w:rPr>
          <w:color w:val="000000" w:themeColor="text1"/>
        </w:rPr>
        <w:t xml:space="preserve"> a flexible approach </w:t>
      </w:r>
      <w:r>
        <w:rPr>
          <w:color w:val="000000" w:themeColor="text1"/>
        </w:rPr>
        <w:t xml:space="preserve">to </w:t>
      </w:r>
      <w:r w:rsidRPr="00197B6B">
        <w:rPr>
          <w:color w:val="000000" w:themeColor="text1"/>
        </w:rPr>
        <w:t>addressing maintenance backlogs and three separate five</w:t>
      </w:r>
      <w:r>
        <w:rPr>
          <w:color w:val="000000" w:themeColor="text1"/>
        </w:rPr>
        <w:t>-</w:t>
      </w:r>
      <w:r w:rsidRPr="00197B6B">
        <w:rPr>
          <w:color w:val="000000" w:themeColor="text1"/>
        </w:rPr>
        <w:t xml:space="preserve">year delivery programmes </w:t>
      </w:r>
      <w:r w:rsidR="00884895">
        <w:rPr>
          <w:color w:val="000000" w:themeColor="text1"/>
        </w:rPr>
        <w:t xml:space="preserve">were identified to address </w:t>
      </w:r>
      <w:r w:rsidR="0030220A">
        <w:rPr>
          <w:color w:val="000000" w:themeColor="text1"/>
        </w:rPr>
        <w:t xml:space="preserve">the following </w:t>
      </w:r>
      <w:r w:rsidR="00884895" w:rsidRPr="00197B6B">
        <w:rPr>
          <w:color w:val="000000" w:themeColor="text1"/>
        </w:rPr>
        <w:t>priorities</w:t>
      </w:r>
      <w:r w:rsidR="0030220A">
        <w:rPr>
          <w:color w:val="000000" w:themeColor="text1"/>
        </w:rPr>
        <w:t>,</w:t>
      </w:r>
    </w:p>
    <w:p w14:paraId="55B1DF5F" w14:textId="77777777" w:rsidR="0030220A" w:rsidRDefault="0030220A" w:rsidP="0030220A">
      <w:pPr>
        <w:spacing w:after="0"/>
        <w:jc w:val="both"/>
        <w:rPr>
          <w:color w:val="000000" w:themeColor="text1"/>
        </w:rPr>
      </w:pPr>
    </w:p>
    <w:p w14:paraId="5ACE82B6" w14:textId="77777777" w:rsidR="005C688D" w:rsidRDefault="005C688D" w:rsidP="0030220A">
      <w:pPr>
        <w:spacing w:after="0"/>
        <w:jc w:val="both"/>
        <w:rPr>
          <w:color w:val="000000" w:themeColor="text1"/>
        </w:rPr>
      </w:pPr>
      <w:r>
        <w:rPr>
          <w:color w:val="000000" w:themeColor="text1"/>
        </w:rPr>
        <w:t>Phase 1</w:t>
      </w:r>
      <w:r w:rsidR="0032598C">
        <w:rPr>
          <w:color w:val="000000" w:themeColor="text1"/>
        </w:rPr>
        <w:t>, to run</w:t>
      </w:r>
      <w:r w:rsidR="00EE5855">
        <w:rPr>
          <w:color w:val="000000" w:themeColor="text1"/>
        </w:rPr>
        <w:t xml:space="preserve"> from </w:t>
      </w:r>
      <w:r>
        <w:rPr>
          <w:color w:val="000000" w:themeColor="text1"/>
        </w:rPr>
        <w:t>Ap</w:t>
      </w:r>
      <w:r w:rsidR="0032598C">
        <w:rPr>
          <w:color w:val="000000" w:themeColor="text1"/>
        </w:rPr>
        <w:t>ril 2015 until March 2020.  W</w:t>
      </w:r>
      <w:r>
        <w:rPr>
          <w:color w:val="000000" w:themeColor="text1"/>
        </w:rPr>
        <w:t xml:space="preserve">orks </w:t>
      </w:r>
      <w:r w:rsidR="00EE5855">
        <w:rPr>
          <w:color w:val="000000" w:themeColor="text1"/>
        </w:rPr>
        <w:t xml:space="preserve">to be </w:t>
      </w:r>
      <w:r>
        <w:rPr>
          <w:color w:val="000000" w:themeColor="text1"/>
        </w:rPr>
        <w:t>targeted at improving our A, B and C roads and our footway networks.</w:t>
      </w:r>
      <w:r w:rsidR="00A0734E">
        <w:rPr>
          <w:color w:val="000000" w:themeColor="text1"/>
        </w:rPr>
        <w:t xml:space="preserve">  </w:t>
      </w:r>
      <w:r>
        <w:rPr>
          <w:color w:val="000000" w:themeColor="text1"/>
        </w:rPr>
        <w:t xml:space="preserve">Phase </w:t>
      </w:r>
      <w:r w:rsidR="0032598C">
        <w:rPr>
          <w:color w:val="000000" w:themeColor="text1"/>
        </w:rPr>
        <w:t xml:space="preserve">2, to run </w:t>
      </w:r>
      <w:r>
        <w:rPr>
          <w:color w:val="000000" w:themeColor="text1"/>
        </w:rPr>
        <w:t>from April 2020 until March 2025</w:t>
      </w:r>
      <w:r w:rsidR="0032598C">
        <w:rPr>
          <w:color w:val="000000" w:themeColor="text1"/>
        </w:rPr>
        <w:t>.  Works to be targeted at improving the</w:t>
      </w:r>
      <w:r>
        <w:rPr>
          <w:color w:val="000000" w:themeColor="text1"/>
        </w:rPr>
        <w:t xml:space="preserve"> Unclassified Rural and the </w:t>
      </w:r>
      <w:r>
        <w:rPr>
          <w:color w:val="000000" w:themeColor="text1"/>
        </w:rPr>
        <w:t>Unclassified Urban networks.  Phase 3</w:t>
      </w:r>
      <w:r w:rsidR="0032598C">
        <w:rPr>
          <w:color w:val="000000" w:themeColor="text1"/>
        </w:rPr>
        <w:t xml:space="preserve">, to run from </w:t>
      </w:r>
      <w:r>
        <w:rPr>
          <w:color w:val="000000" w:themeColor="text1"/>
        </w:rPr>
        <w:t xml:space="preserve">April 2025 until March </w:t>
      </w:r>
      <w:r w:rsidR="0032598C">
        <w:rPr>
          <w:color w:val="000000" w:themeColor="text1"/>
        </w:rPr>
        <w:t>20</w:t>
      </w:r>
      <w:r>
        <w:rPr>
          <w:color w:val="000000" w:themeColor="text1"/>
        </w:rPr>
        <w:t>30</w:t>
      </w:r>
      <w:r w:rsidR="0032598C">
        <w:rPr>
          <w:color w:val="000000" w:themeColor="text1"/>
        </w:rPr>
        <w:t xml:space="preserve">.  Works to be targeted at improving our </w:t>
      </w:r>
      <w:r>
        <w:rPr>
          <w:color w:val="000000" w:themeColor="text1"/>
        </w:rPr>
        <w:t xml:space="preserve">structures and street lighting </w:t>
      </w:r>
      <w:r w:rsidR="0032598C">
        <w:rPr>
          <w:color w:val="000000" w:themeColor="text1"/>
        </w:rPr>
        <w:t>assets</w:t>
      </w:r>
      <w:r>
        <w:rPr>
          <w:color w:val="000000" w:themeColor="text1"/>
        </w:rPr>
        <w:t>.</w:t>
      </w:r>
    </w:p>
    <w:p w14:paraId="3F795BAE" w14:textId="77777777" w:rsidR="005C688D" w:rsidRDefault="005C688D" w:rsidP="007452B1">
      <w:pPr>
        <w:spacing w:after="0"/>
        <w:jc w:val="both"/>
        <w:rPr>
          <w:color w:val="000000" w:themeColor="text1"/>
        </w:rPr>
      </w:pPr>
    </w:p>
    <w:p w14:paraId="2DBEFAB4" w14:textId="77777777" w:rsidR="005C688D" w:rsidRPr="005C688D" w:rsidRDefault="005C688D" w:rsidP="007452B1">
      <w:pPr>
        <w:spacing w:after="0"/>
        <w:jc w:val="both"/>
        <w:rPr>
          <w:b/>
          <w:color w:val="000000" w:themeColor="text1"/>
        </w:rPr>
      </w:pPr>
      <w:r w:rsidRPr="005C688D">
        <w:rPr>
          <w:b/>
          <w:color w:val="000000" w:themeColor="text1"/>
        </w:rPr>
        <w:t>Service Standards</w:t>
      </w:r>
    </w:p>
    <w:p w14:paraId="12A492BA" w14:textId="6D30EE3A" w:rsidR="00A0734E" w:rsidRPr="007C256B" w:rsidRDefault="005C688D" w:rsidP="00D6191E">
      <w:pPr>
        <w:autoSpaceDE w:val="0"/>
        <w:autoSpaceDN w:val="0"/>
        <w:adjustRightInd w:val="0"/>
        <w:spacing w:after="0"/>
        <w:jc w:val="both"/>
        <w:rPr>
          <w:color w:val="000000" w:themeColor="text1"/>
        </w:rPr>
      </w:pPr>
      <w:r>
        <w:rPr>
          <w:rFonts w:cs="Arial"/>
          <w:szCs w:val="24"/>
        </w:rPr>
        <w:t xml:space="preserve">In order that we could review and report our progress </w:t>
      </w:r>
      <w:r w:rsidR="00D6191E">
        <w:rPr>
          <w:rFonts w:cs="Arial"/>
          <w:szCs w:val="24"/>
        </w:rPr>
        <w:t xml:space="preserve">we devised a </w:t>
      </w:r>
      <w:r>
        <w:rPr>
          <w:rFonts w:cs="Arial"/>
          <w:szCs w:val="24"/>
        </w:rPr>
        <w:t xml:space="preserve">set of </w:t>
      </w:r>
      <w:r w:rsidR="00842536">
        <w:rPr>
          <w:rFonts w:cs="Arial"/>
          <w:szCs w:val="24"/>
        </w:rPr>
        <w:t>s</w:t>
      </w:r>
      <w:r>
        <w:rPr>
          <w:rFonts w:cs="Arial"/>
          <w:szCs w:val="24"/>
        </w:rPr>
        <w:t xml:space="preserve">ervice </w:t>
      </w:r>
      <w:r w:rsidR="00842536">
        <w:rPr>
          <w:rFonts w:cs="Arial"/>
          <w:szCs w:val="24"/>
        </w:rPr>
        <w:t>s</w:t>
      </w:r>
      <w:r>
        <w:rPr>
          <w:rFonts w:cs="Arial"/>
          <w:szCs w:val="24"/>
        </w:rPr>
        <w:t xml:space="preserve">tandards which are specific to </w:t>
      </w:r>
      <w:r w:rsidR="0030220A">
        <w:rPr>
          <w:rFonts w:cs="Arial"/>
          <w:szCs w:val="24"/>
        </w:rPr>
        <w:t>us</w:t>
      </w:r>
      <w:r w:rsidR="00D6191E">
        <w:rPr>
          <w:rFonts w:cs="Arial"/>
          <w:szCs w:val="24"/>
        </w:rPr>
        <w:t xml:space="preserve">.  </w:t>
      </w:r>
      <w:r w:rsidR="00A0734E" w:rsidRPr="007C256B">
        <w:rPr>
          <w:color w:val="000000" w:themeColor="text1"/>
        </w:rPr>
        <w:t xml:space="preserve">Setting </w:t>
      </w:r>
      <w:r w:rsidR="00842536">
        <w:rPr>
          <w:color w:val="000000" w:themeColor="text1"/>
        </w:rPr>
        <w:t>s</w:t>
      </w:r>
      <w:r w:rsidR="00A0734E" w:rsidRPr="007C256B">
        <w:rPr>
          <w:color w:val="000000" w:themeColor="text1"/>
        </w:rPr>
        <w:t xml:space="preserve">ervice </w:t>
      </w:r>
      <w:r w:rsidR="002E7D75">
        <w:rPr>
          <w:color w:val="000000" w:themeColor="text1"/>
        </w:rPr>
        <w:t>s</w:t>
      </w:r>
      <w:r w:rsidR="00A0734E" w:rsidRPr="007C256B">
        <w:rPr>
          <w:color w:val="000000" w:themeColor="text1"/>
        </w:rPr>
        <w:t xml:space="preserve">tandards </w:t>
      </w:r>
      <w:r w:rsidR="00D6191E">
        <w:rPr>
          <w:color w:val="000000" w:themeColor="text1"/>
        </w:rPr>
        <w:t xml:space="preserve">has enabled us to </w:t>
      </w:r>
      <w:r w:rsidR="00A0734E" w:rsidRPr="007C256B">
        <w:rPr>
          <w:color w:val="000000" w:themeColor="text1"/>
        </w:rPr>
        <w:t>-</w:t>
      </w:r>
    </w:p>
    <w:p w14:paraId="4E9D9A0C" w14:textId="77777777" w:rsidR="00A0734E" w:rsidRPr="007C256B" w:rsidRDefault="00A0734E" w:rsidP="00A0734E">
      <w:pPr>
        <w:spacing w:after="0" w:line="240" w:lineRule="auto"/>
        <w:jc w:val="both"/>
        <w:rPr>
          <w:color w:val="000000" w:themeColor="text1"/>
        </w:rPr>
      </w:pPr>
    </w:p>
    <w:p w14:paraId="0F2BAC35" w14:textId="5A5C95EC" w:rsidR="00A0734E" w:rsidRPr="002C25E5" w:rsidRDefault="0030220A" w:rsidP="00A8347F">
      <w:pPr>
        <w:pStyle w:val="ListParagraph"/>
        <w:numPr>
          <w:ilvl w:val="0"/>
          <w:numId w:val="30"/>
        </w:numPr>
        <w:spacing w:after="0"/>
        <w:ind w:left="357" w:hanging="357"/>
        <w:jc w:val="both"/>
        <w:rPr>
          <w:color w:val="000000" w:themeColor="text1"/>
        </w:rPr>
      </w:pPr>
      <w:r>
        <w:rPr>
          <w:color w:val="000000" w:themeColor="text1"/>
        </w:rPr>
        <w:t>s</w:t>
      </w:r>
      <w:r w:rsidR="00A0734E" w:rsidRPr="002C25E5">
        <w:rPr>
          <w:color w:val="000000" w:themeColor="text1"/>
        </w:rPr>
        <w:t>upport planned maintenance of the network</w:t>
      </w:r>
    </w:p>
    <w:p w14:paraId="197A2BAC" w14:textId="2CF076FF" w:rsidR="00A0734E" w:rsidRPr="002C25E5" w:rsidRDefault="0030220A" w:rsidP="00A8347F">
      <w:pPr>
        <w:pStyle w:val="ListParagraph"/>
        <w:numPr>
          <w:ilvl w:val="0"/>
          <w:numId w:val="30"/>
        </w:numPr>
        <w:spacing w:after="0"/>
        <w:ind w:left="357" w:hanging="357"/>
        <w:jc w:val="both"/>
        <w:rPr>
          <w:color w:val="000000" w:themeColor="text1"/>
        </w:rPr>
      </w:pPr>
      <w:r>
        <w:rPr>
          <w:color w:val="000000" w:themeColor="text1"/>
        </w:rPr>
        <w:t>a</w:t>
      </w:r>
      <w:r w:rsidR="00A0734E" w:rsidRPr="002C25E5">
        <w:rPr>
          <w:color w:val="000000" w:themeColor="text1"/>
        </w:rPr>
        <w:t>chieve a reduction in maintenance backlogs</w:t>
      </w:r>
    </w:p>
    <w:p w14:paraId="7EEA24B8" w14:textId="2011DC92" w:rsidR="00A0734E" w:rsidRPr="002C25E5" w:rsidRDefault="0030220A" w:rsidP="00A8347F">
      <w:pPr>
        <w:pStyle w:val="ListParagraph"/>
        <w:numPr>
          <w:ilvl w:val="0"/>
          <w:numId w:val="30"/>
        </w:numPr>
        <w:spacing w:after="0"/>
        <w:ind w:left="357" w:hanging="357"/>
        <w:jc w:val="both"/>
        <w:rPr>
          <w:color w:val="000000" w:themeColor="text1"/>
        </w:rPr>
      </w:pPr>
      <w:r>
        <w:rPr>
          <w:color w:val="000000" w:themeColor="text1"/>
        </w:rPr>
        <w:t>r</w:t>
      </w:r>
      <w:r w:rsidR="00A0734E" w:rsidRPr="002C25E5">
        <w:rPr>
          <w:color w:val="000000" w:themeColor="text1"/>
        </w:rPr>
        <w:t>educe the year on year investment required to deal with natural annual deterioration of the asset</w:t>
      </w:r>
    </w:p>
    <w:p w14:paraId="778FB2BB" w14:textId="68478EE6" w:rsidR="00A0734E" w:rsidRPr="002C25E5" w:rsidRDefault="0030220A" w:rsidP="00A8347F">
      <w:pPr>
        <w:pStyle w:val="ListParagraph"/>
        <w:numPr>
          <w:ilvl w:val="0"/>
          <w:numId w:val="30"/>
        </w:numPr>
        <w:spacing w:after="0"/>
        <w:ind w:left="357" w:hanging="357"/>
        <w:jc w:val="both"/>
        <w:rPr>
          <w:color w:val="000000" w:themeColor="text1"/>
        </w:rPr>
      </w:pPr>
      <w:r>
        <w:rPr>
          <w:color w:val="000000" w:themeColor="text1"/>
        </w:rPr>
        <w:t>m</w:t>
      </w:r>
      <w:r w:rsidR="00A0734E" w:rsidRPr="002C25E5">
        <w:rPr>
          <w:color w:val="000000" w:themeColor="text1"/>
        </w:rPr>
        <w:t>ake best use of available resources</w:t>
      </w:r>
    </w:p>
    <w:p w14:paraId="5EC8B4EE" w14:textId="1C4200CC" w:rsidR="00A0734E" w:rsidRDefault="0030220A" w:rsidP="00A8347F">
      <w:pPr>
        <w:pStyle w:val="ListParagraph"/>
        <w:numPr>
          <w:ilvl w:val="0"/>
          <w:numId w:val="30"/>
        </w:numPr>
        <w:spacing w:after="0"/>
        <w:ind w:left="357" w:hanging="357"/>
        <w:jc w:val="both"/>
        <w:rPr>
          <w:color w:val="000000" w:themeColor="text1"/>
        </w:rPr>
      </w:pPr>
      <w:r>
        <w:rPr>
          <w:color w:val="000000" w:themeColor="text1"/>
        </w:rPr>
        <w:t>e</w:t>
      </w:r>
      <w:r w:rsidR="00A0734E" w:rsidRPr="002C25E5">
        <w:rPr>
          <w:color w:val="000000" w:themeColor="text1"/>
        </w:rPr>
        <w:t xml:space="preserve">nsure </w:t>
      </w:r>
      <w:r w:rsidR="00D6191E">
        <w:rPr>
          <w:color w:val="000000" w:themeColor="text1"/>
        </w:rPr>
        <w:t>transparency and accountability</w:t>
      </w:r>
    </w:p>
    <w:p w14:paraId="54D1F82F" w14:textId="2B255386" w:rsidR="00D6191E" w:rsidRPr="002C25E5" w:rsidRDefault="00D6191E" w:rsidP="00A8347F">
      <w:pPr>
        <w:pStyle w:val="ListParagraph"/>
        <w:numPr>
          <w:ilvl w:val="0"/>
          <w:numId w:val="30"/>
        </w:numPr>
        <w:spacing w:after="0"/>
        <w:ind w:left="357" w:hanging="357"/>
        <w:jc w:val="both"/>
        <w:rPr>
          <w:color w:val="000000" w:themeColor="text1"/>
        </w:rPr>
      </w:pPr>
      <w:r>
        <w:rPr>
          <w:color w:val="000000" w:themeColor="text1"/>
        </w:rPr>
        <w:t xml:space="preserve">ensure that </w:t>
      </w:r>
      <w:r w:rsidR="00D67700">
        <w:rPr>
          <w:color w:val="000000" w:themeColor="text1"/>
        </w:rPr>
        <w:t xml:space="preserve">similar </w:t>
      </w:r>
      <w:r>
        <w:rPr>
          <w:color w:val="000000" w:themeColor="text1"/>
        </w:rPr>
        <w:t xml:space="preserve">assets are maintained to </w:t>
      </w:r>
      <w:r w:rsidR="00D67700">
        <w:rPr>
          <w:color w:val="000000" w:themeColor="text1"/>
        </w:rPr>
        <w:t xml:space="preserve">the same </w:t>
      </w:r>
      <w:r>
        <w:rPr>
          <w:color w:val="000000" w:themeColor="text1"/>
        </w:rPr>
        <w:t>standard across each district area</w:t>
      </w:r>
    </w:p>
    <w:p w14:paraId="162B083B" w14:textId="77777777" w:rsidR="00A0734E" w:rsidRDefault="00A0734E" w:rsidP="005C688D">
      <w:pPr>
        <w:autoSpaceDE w:val="0"/>
        <w:autoSpaceDN w:val="0"/>
        <w:adjustRightInd w:val="0"/>
        <w:spacing w:after="0"/>
        <w:jc w:val="both"/>
        <w:rPr>
          <w:rFonts w:cs="Arial"/>
          <w:szCs w:val="24"/>
        </w:rPr>
      </w:pPr>
    </w:p>
    <w:p w14:paraId="0BE77B28" w14:textId="7B9462C7" w:rsidR="005C688D" w:rsidRDefault="00A0734E" w:rsidP="005C688D">
      <w:pPr>
        <w:autoSpaceDE w:val="0"/>
        <w:autoSpaceDN w:val="0"/>
        <w:adjustRightInd w:val="0"/>
        <w:spacing w:after="0"/>
        <w:jc w:val="both"/>
        <w:rPr>
          <w:rFonts w:cs="Arial"/>
          <w:szCs w:val="24"/>
        </w:rPr>
      </w:pPr>
      <w:r>
        <w:rPr>
          <w:rFonts w:cs="Arial"/>
          <w:szCs w:val="24"/>
        </w:rPr>
        <w:t>C</w:t>
      </w:r>
      <w:r w:rsidR="005C688D">
        <w:rPr>
          <w:rFonts w:cs="Arial"/>
          <w:szCs w:val="24"/>
        </w:rPr>
        <w:t xml:space="preserve">hallenging targets </w:t>
      </w:r>
      <w:r>
        <w:rPr>
          <w:rFonts w:cs="Arial"/>
          <w:szCs w:val="24"/>
        </w:rPr>
        <w:t xml:space="preserve">were set for each asset group and the initial TAMP set targets </w:t>
      </w:r>
      <w:r w:rsidR="005115ED">
        <w:rPr>
          <w:rFonts w:cs="Arial"/>
          <w:szCs w:val="24"/>
        </w:rPr>
        <w:t>for</w:t>
      </w:r>
      <w:r w:rsidR="005C688D">
        <w:rPr>
          <w:rFonts w:cs="Arial"/>
          <w:szCs w:val="24"/>
        </w:rPr>
        <w:t xml:space="preserve"> the end of each phase </w:t>
      </w:r>
      <w:r w:rsidR="005C688D" w:rsidRPr="00FE1236">
        <w:rPr>
          <w:rFonts w:cs="Arial"/>
          <w:szCs w:val="24"/>
        </w:rPr>
        <w:t>and at the end of the 15 year TAMP investment period</w:t>
      </w:r>
      <w:r>
        <w:rPr>
          <w:rFonts w:cs="Arial"/>
          <w:szCs w:val="24"/>
        </w:rPr>
        <w:t xml:space="preserve">.  These </w:t>
      </w:r>
      <w:r w:rsidR="00D6191E">
        <w:rPr>
          <w:rFonts w:cs="Arial"/>
          <w:szCs w:val="24"/>
        </w:rPr>
        <w:t xml:space="preserve">targets are reviewed on an annual </w:t>
      </w:r>
      <w:r w:rsidR="00305BDF">
        <w:rPr>
          <w:rFonts w:cs="Arial"/>
          <w:szCs w:val="24"/>
        </w:rPr>
        <w:t>basis</w:t>
      </w:r>
      <w:r w:rsidR="002E7D75">
        <w:rPr>
          <w:rFonts w:cs="Arial"/>
          <w:szCs w:val="24"/>
        </w:rPr>
        <w:t>.</w:t>
      </w:r>
    </w:p>
    <w:p w14:paraId="4A6C5817" w14:textId="77777777" w:rsidR="005C688D" w:rsidRDefault="005C688D" w:rsidP="005C688D">
      <w:pPr>
        <w:autoSpaceDE w:val="0"/>
        <w:autoSpaceDN w:val="0"/>
        <w:adjustRightInd w:val="0"/>
        <w:spacing w:after="0"/>
        <w:jc w:val="both"/>
        <w:rPr>
          <w:rFonts w:cs="Arial"/>
          <w:szCs w:val="24"/>
        </w:rPr>
      </w:pPr>
    </w:p>
    <w:p w14:paraId="0F4BF0A6" w14:textId="069E74D1" w:rsidR="00C659BF" w:rsidRDefault="0030220A" w:rsidP="005C688D">
      <w:pPr>
        <w:autoSpaceDE w:val="0"/>
        <w:autoSpaceDN w:val="0"/>
        <w:adjustRightInd w:val="0"/>
        <w:spacing w:after="0"/>
        <w:jc w:val="both"/>
      </w:pPr>
      <w:r>
        <w:rPr>
          <w:rFonts w:cs="Arial"/>
          <w:szCs w:val="24"/>
        </w:rPr>
        <w:t xml:space="preserve">At the end of each year we publish a refresh document which details how we have performed together with details of the changes we have faced.  This information can be viewed </w:t>
      </w:r>
      <w:hyperlink r:id="rId11" w:history="1">
        <w:r>
          <w:rPr>
            <w:rStyle w:val="Hyperlink"/>
          </w:rPr>
          <w:t>here</w:t>
        </w:r>
      </w:hyperlink>
      <w:r>
        <w:t>.</w:t>
      </w:r>
    </w:p>
    <w:p w14:paraId="78C34513" w14:textId="763DD439" w:rsidR="002E7D75" w:rsidRDefault="002E7D75" w:rsidP="005C688D">
      <w:pPr>
        <w:autoSpaceDE w:val="0"/>
        <w:autoSpaceDN w:val="0"/>
        <w:adjustRightInd w:val="0"/>
        <w:spacing w:after="0"/>
        <w:jc w:val="both"/>
      </w:pPr>
    </w:p>
    <w:p w14:paraId="3D038552" w14:textId="77777777" w:rsidR="002E7D75" w:rsidRDefault="002E7D75" w:rsidP="005C688D">
      <w:pPr>
        <w:autoSpaceDE w:val="0"/>
        <w:autoSpaceDN w:val="0"/>
        <w:adjustRightInd w:val="0"/>
        <w:spacing w:after="0"/>
        <w:jc w:val="both"/>
        <w:rPr>
          <w:rFonts w:cs="Arial"/>
          <w:szCs w:val="24"/>
        </w:rPr>
      </w:pPr>
    </w:p>
    <w:p w14:paraId="4AB5960C" w14:textId="0D907ABD" w:rsidR="00C659BF" w:rsidRPr="001C03A1" w:rsidRDefault="00C659BF" w:rsidP="009D3C5F">
      <w:pPr>
        <w:pStyle w:val="ListParagraph"/>
        <w:numPr>
          <w:ilvl w:val="0"/>
          <w:numId w:val="41"/>
        </w:numPr>
        <w:spacing w:after="0"/>
        <w:ind w:left="357" w:hanging="357"/>
        <w:jc w:val="both"/>
        <w:rPr>
          <w:b/>
          <w:color w:val="000000" w:themeColor="text1"/>
        </w:rPr>
      </w:pPr>
      <w:r w:rsidRPr="001C03A1">
        <w:rPr>
          <w:b/>
          <w:color w:val="000000" w:themeColor="text1"/>
        </w:rPr>
        <w:lastRenderedPageBreak/>
        <w:t xml:space="preserve">Challenges </w:t>
      </w:r>
      <w:r w:rsidR="00E45CE4">
        <w:rPr>
          <w:b/>
          <w:color w:val="000000" w:themeColor="text1"/>
        </w:rPr>
        <w:t xml:space="preserve">and </w:t>
      </w:r>
      <w:r w:rsidR="00F3590B">
        <w:rPr>
          <w:b/>
          <w:color w:val="000000" w:themeColor="text1"/>
        </w:rPr>
        <w:t>Changes in</w:t>
      </w:r>
      <w:r w:rsidRPr="001C03A1">
        <w:rPr>
          <w:b/>
          <w:color w:val="000000" w:themeColor="text1"/>
        </w:rPr>
        <w:t xml:space="preserve"> Phase 2</w:t>
      </w:r>
    </w:p>
    <w:p w14:paraId="04E3A3D4" w14:textId="44FD68A5" w:rsidR="00C659BF" w:rsidRDefault="00C659BF" w:rsidP="00E16A6F">
      <w:pPr>
        <w:spacing w:after="0"/>
        <w:jc w:val="both"/>
        <w:rPr>
          <w:rFonts w:eastAsiaTheme="majorEastAsia" w:cs="Arial"/>
          <w:color w:val="000000" w:themeColor="text1"/>
          <w:szCs w:val="24"/>
        </w:rPr>
      </w:pPr>
      <w:r>
        <w:rPr>
          <w:rFonts w:eastAsiaTheme="majorEastAsia" w:cs="Arial"/>
          <w:color w:val="000000" w:themeColor="text1"/>
          <w:szCs w:val="24"/>
        </w:rPr>
        <w:t>As a result of reviewing progress over the past 5 years</w:t>
      </w:r>
      <w:r w:rsidR="00CD6592">
        <w:rPr>
          <w:rFonts w:eastAsiaTheme="majorEastAsia" w:cs="Arial"/>
          <w:color w:val="000000" w:themeColor="text1"/>
          <w:szCs w:val="24"/>
        </w:rPr>
        <w:t xml:space="preserve"> together</w:t>
      </w:r>
      <w:r w:rsidR="005115ED">
        <w:rPr>
          <w:rFonts w:eastAsiaTheme="majorEastAsia" w:cs="Arial"/>
          <w:color w:val="000000" w:themeColor="text1"/>
          <w:szCs w:val="24"/>
        </w:rPr>
        <w:t xml:space="preserve"> with</w:t>
      </w:r>
      <w:r w:rsidR="00CD6592">
        <w:rPr>
          <w:rFonts w:eastAsiaTheme="majorEastAsia" w:cs="Arial"/>
          <w:color w:val="000000" w:themeColor="text1"/>
          <w:szCs w:val="24"/>
        </w:rPr>
        <w:t xml:space="preserve"> </w:t>
      </w:r>
      <w:r w:rsidR="002E7D75">
        <w:rPr>
          <w:rFonts w:eastAsiaTheme="majorEastAsia" w:cs="Arial"/>
          <w:color w:val="000000" w:themeColor="text1"/>
          <w:szCs w:val="24"/>
        </w:rPr>
        <w:t xml:space="preserve">using our </w:t>
      </w:r>
      <w:r>
        <w:rPr>
          <w:rFonts w:eastAsiaTheme="majorEastAsia" w:cs="Arial"/>
          <w:color w:val="000000" w:themeColor="text1"/>
          <w:szCs w:val="24"/>
        </w:rPr>
        <w:t xml:space="preserve">improved </w:t>
      </w:r>
      <w:r w:rsidR="00CD6592">
        <w:rPr>
          <w:rFonts w:eastAsiaTheme="majorEastAsia" w:cs="Arial"/>
          <w:color w:val="000000" w:themeColor="text1"/>
          <w:szCs w:val="24"/>
        </w:rPr>
        <w:t xml:space="preserve">asset management knowledge and better </w:t>
      </w:r>
      <w:r w:rsidR="00F3590B">
        <w:rPr>
          <w:rFonts w:eastAsiaTheme="majorEastAsia" w:cs="Arial"/>
          <w:color w:val="000000" w:themeColor="text1"/>
          <w:szCs w:val="24"/>
        </w:rPr>
        <w:t xml:space="preserve">condition </w:t>
      </w:r>
      <w:r w:rsidR="00E16A6F">
        <w:rPr>
          <w:rFonts w:eastAsiaTheme="majorEastAsia" w:cs="Arial"/>
          <w:color w:val="000000" w:themeColor="text1"/>
          <w:szCs w:val="24"/>
        </w:rPr>
        <w:t xml:space="preserve">data we have been able to challenge some of the </w:t>
      </w:r>
      <w:r>
        <w:rPr>
          <w:rFonts w:eastAsiaTheme="majorEastAsia" w:cs="Arial"/>
          <w:color w:val="000000" w:themeColor="text1"/>
          <w:szCs w:val="24"/>
        </w:rPr>
        <w:t>original assumptions made in TAMP Phase 1</w:t>
      </w:r>
      <w:r w:rsidR="00E16A6F">
        <w:rPr>
          <w:rFonts w:eastAsiaTheme="majorEastAsia" w:cs="Arial"/>
          <w:color w:val="000000" w:themeColor="text1"/>
          <w:szCs w:val="24"/>
        </w:rPr>
        <w:t xml:space="preserve"> as </w:t>
      </w:r>
      <w:r w:rsidR="00CD6592">
        <w:rPr>
          <w:rFonts w:eastAsiaTheme="majorEastAsia" w:cs="Arial"/>
          <w:color w:val="000000" w:themeColor="text1"/>
          <w:szCs w:val="24"/>
        </w:rPr>
        <w:t>outlined</w:t>
      </w:r>
      <w:r w:rsidR="00F3590B">
        <w:rPr>
          <w:rFonts w:eastAsiaTheme="majorEastAsia" w:cs="Arial"/>
          <w:color w:val="000000" w:themeColor="text1"/>
          <w:szCs w:val="24"/>
        </w:rPr>
        <w:t xml:space="preserve"> b</w:t>
      </w:r>
      <w:r w:rsidR="00E16A6F">
        <w:rPr>
          <w:rFonts w:eastAsiaTheme="majorEastAsia" w:cs="Arial"/>
          <w:color w:val="000000" w:themeColor="text1"/>
          <w:szCs w:val="24"/>
        </w:rPr>
        <w:t>elow: -</w:t>
      </w:r>
      <w:r>
        <w:rPr>
          <w:rFonts w:eastAsiaTheme="majorEastAsia" w:cs="Arial"/>
          <w:color w:val="000000" w:themeColor="text1"/>
          <w:szCs w:val="24"/>
        </w:rPr>
        <w:t xml:space="preserve"> </w:t>
      </w:r>
    </w:p>
    <w:p w14:paraId="16C78AD8" w14:textId="77777777" w:rsidR="00C659BF" w:rsidRDefault="00C659BF" w:rsidP="00C659BF">
      <w:pPr>
        <w:spacing w:after="0"/>
        <w:rPr>
          <w:rFonts w:eastAsiaTheme="majorEastAsia" w:cs="Arial"/>
          <w:color w:val="000000" w:themeColor="text1"/>
          <w:szCs w:val="24"/>
        </w:rPr>
      </w:pPr>
    </w:p>
    <w:p w14:paraId="3CE8BAE2" w14:textId="23640322" w:rsidR="00C659BF" w:rsidRPr="00F3590B" w:rsidRDefault="00CD6592"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At the start of Phase 1 we set a demanding end of phase target and an initial interim target for our A, B &amp; C roads.  The interim target was used to address </w:t>
      </w:r>
      <w:r w:rsidR="002018FB">
        <w:rPr>
          <w:rFonts w:eastAsiaTheme="majorEastAsia" w:cs="Arial"/>
          <w:color w:val="000000" w:themeColor="text1"/>
        </w:rPr>
        <w:t>condition</w:t>
      </w:r>
      <w:r>
        <w:rPr>
          <w:rFonts w:eastAsiaTheme="majorEastAsia" w:cs="Arial"/>
          <w:color w:val="000000" w:themeColor="text1"/>
        </w:rPr>
        <w:t xml:space="preserve"> disparities across th</w:t>
      </w:r>
      <w:r w:rsidR="002018FB">
        <w:rPr>
          <w:rFonts w:eastAsiaTheme="majorEastAsia" w:cs="Arial"/>
          <w:color w:val="000000" w:themeColor="text1"/>
        </w:rPr>
        <w:t xml:space="preserve">is asset group </w:t>
      </w:r>
      <w:r>
        <w:rPr>
          <w:rFonts w:eastAsiaTheme="majorEastAsia" w:cs="Arial"/>
          <w:color w:val="000000" w:themeColor="text1"/>
        </w:rPr>
        <w:t xml:space="preserve">in Lancashire.  </w:t>
      </w:r>
      <w:r w:rsidR="002018FB">
        <w:rPr>
          <w:rFonts w:eastAsiaTheme="majorEastAsia" w:cs="Arial"/>
          <w:color w:val="000000" w:themeColor="text1"/>
        </w:rPr>
        <w:t>Once t</w:t>
      </w:r>
      <w:r>
        <w:rPr>
          <w:rFonts w:eastAsiaTheme="majorEastAsia" w:cs="Arial"/>
          <w:color w:val="000000" w:themeColor="text1"/>
        </w:rPr>
        <w:t xml:space="preserve">he condition of these roads </w:t>
      </w:r>
      <w:r w:rsidR="002E7D75">
        <w:rPr>
          <w:rFonts w:eastAsiaTheme="majorEastAsia" w:cs="Arial"/>
          <w:color w:val="000000" w:themeColor="text1"/>
        </w:rPr>
        <w:t>had been</w:t>
      </w:r>
      <w:r>
        <w:rPr>
          <w:rFonts w:eastAsiaTheme="majorEastAsia" w:cs="Arial"/>
          <w:color w:val="000000" w:themeColor="text1"/>
        </w:rPr>
        <w:t xml:space="preserve"> 'evened up', further interim targets were </w:t>
      </w:r>
      <w:r w:rsidR="002018FB">
        <w:rPr>
          <w:rFonts w:eastAsiaTheme="majorEastAsia" w:cs="Arial"/>
          <w:color w:val="000000" w:themeColor="text1"/>
        </w:rPr>
        <w:t xml:space="preserve">set </w:t>
      </w:r>
      <w:r>
        <w:rPr>
          <w:rFonts w:eastAsiaTheme="majorEastAsia" w:cs="Arial"/>
          <w:color w:val="000000" w:themeColor="text1"/>
        </w:rPr>
        <w:t>with the aim of 'incrementally' reaching the demanding end of phase target</w:t>
      </w:r>
      <w:r w:rsidR="002018FB">
        <w:rPr>
          <w:rFonts w:eastAsiaTheme="majorEastAsia" w:cs="Arial"/>
          <w:color w:val="000000" w:themeColor="text1"/>
        </w:rPr>
        <w:t>s</w:t>
      </w:r>
      <w:r>
        <w:rPr>
          <w:rFonts w:eastAsiaTheme="majorEastAsia" w:cs="Arial"/>
          <w:color w:val="000000" w:themeColor="text1"/>
        </w:rPr>
        <w:t xml:space="preserve">.  </w:t>
      </w:r>
      <w:r w:rsidR="00C659BF">
        <w:rPr>
          <w:rFonts w:eastAsiaTheme="majorEastAsia" w:cs="Arial"/>
          <w:color w:val="000000" w:themeColor="text1"/>
        </w:rPr>
        <w:t xml:space="preserve">Lifecycle </w:t>
      </w:r>
      <w:r w:rsidR="00C659BF" w:rsidRPr="00FE1236">
        <w:rPr>
          <w:rFonts w:eastAsiaTheme="majorEastAsia" w:cs="Arial"/>
          <w:color w:val="000000" w:themeColor="text1"/>
        </w:rPr>
        <w:t xml:space="preserve">modelling </w:t>
      </w:r>
      <w:r>
        <w:rPr>
          <w:rFonts w:eastAsiaTheme="majorEastAsia" w:cs="Arial"/>
          <w:color w:val="000000" w:themeColor="text1"/>
        </w:rPr>
        <w:t xml:space="preserve">now </w:t>
      </w:r>
      <w:r w:rsidR="00C659BF" w:rsidRPr="00FE1236">
        <w:rPr>
          <w:rFonts w:eastAsiaTheme="majorEastAsia" w:cs="Arial"/>
          <w:color w:val="000000" w:themeColor="text1"/>
        </w:rPr>
        <w:t>suggest</w:t>
      </w:r>
      <w:r w:rsidR="00C659BF">
        <w:rPr>
          <w:rFonts w:eastAsiaTheme="majorEastAsia" w:cs="Arial"/>
          <w:color w:val="000000" w:themeColor="text1"/>
        </w:rPr>
        <w:t>s</w:t>
      </w:r>
      <w:r w:rsidR="00C659BF" w:rsidRPr="00FE1236">
        <w:rPr>
          <w:rFonts w:eastAsiaTheme="majorEastAsia" w:cs="Arial"/>
          <w:color w:val="000000" w:themeColor="text1"/>
        </w:rPr>
        <w:t xml:space="preserve"> th</w:t>
      </w:r>
      <w:r w:rsidR="00C659BF">
        <w:rPr>
          <w:rFonts w:eastAsiaTheme="majorEastAsia" w:cs="Arial"/>
          <w:color w:val="000000" w:themeColor="text1"/>
        </w:rPr>
        <w:t xml:space="preserve">at the </w:t>
      </w:r>
      <w:r>
        <w:rPr>
          <w:rFonts w:eastAsiaTheme="majorEastAsia" w:cs="Arial"/>
          <w:color w:val="000000" w:themeColor="text1"/>
        </w:rPr>
        <w:t xml:space="preserve">end of phase </w:t>
      </w:r>
      <w:r w:rsidR="00C659BF" w:rsidRPr="00FE1236">
        <w:rPr>
          <w:rFonts w:eastAsiaTheme="majorEastAsia" w:cs="Arial"/>
          <w:color w:val="000000" w:themeColor="text1"/>
        </w:rPr>
        <w:t xml:space="preserve">standards </w:t>
      </w:r>
      <w:r w:rsidR="00C659BF">
        <w:rPr>
          <w:rFonts w:eastAsiaTheme="majorEastAsia" w:cs="Arial"/>
          <w:color w:val="000000" w:themeColor="text1"/>
        </w:rPr>
        <w:t xml:space="preserve">for the A, B &amp; C roads </w:t>
      </w:r>
      <w:r w:rsidR="00C659BF" w:rsidRPr="00FE1236">
        <w:rPr>
          <w:rFonts w:eastAsiaTheme="majorEastAsia" w:cs="Arial"/>
          <w:color w:val="000000" w:themeColor="text1"/>
        </w:rPr>
        <w:t xml:space="preserve">were too stringent particularly as SCANNER </w:t>
      </w:r>
      <w:r w:rsidR="00C659BF">
        <w:rPr>
          <w:rFonts w:eastAsiaTheme="majorEastAsia" w:cs="Arial"/>
          <w:color w:val="000000" w:themeColor="text1"/>
        </w:rPr>
        <w:t xml:space="preserve">can </w:t>
      </w:r>
      <w:r w:rsidR="00C659BF" w:rsidRPr="00FE1236">
        <w:rPr>
          <w:rFonts w:eastAsiaTheme="majorEastAsia" w:cs="Arial"/>
          <w:color w:val="000000" w:themeColor="text1"/>
        </w:rPr>
        <w:t xml:space="preserve">define naturally undulating roads as requiring </w:t>
      </w:r>
      <w:r w:rsidR="00C659BF">
        <w:rPr>
          <w:rFonts w:eastAsiaTheme="majorEastAsia" w:cs="Arial"/>
          <w:color w:val="000000" w:themeColor="text1"/>
        </w:rPr>
        <w:t xml:space="preserve">unnecessary </w:t>
      </w:r>
      <w:r w:rsidR="00C659BF" w:rsidRPr="00FE1236">
        <w:rPr>
          <w:rFonts w:eastAsiaTheme="majorEastAsia" w:cs="Arial"/>
          <w:color w:val="000000" w:themeColor="text1"/>
        </w:rPr>
        <w:t>attention</w:t>
      </w:r>
      <w:r w:rsidR="00E16A6F">
        <w:rPr>
          <w:rFonts w:eastAsiaTheme="majorEastAsia" w:cs="Arial"/>
          <w:color w:val="000000" w:themeColor="text1"/>
        </w:rPr>
        <w:t xml:space="preserve"> and this was a significant factor in this asset grouping not meeting </w:t>
      </w:r>
      <w:r w:rsidR="00C659BF">
        <w:rPr>
          <w:rFonts w:eastAsiaTheme="majorEastAsia" w:cs="Arial"/>
          <w:color w:val="000000" w:themeColor="text1"/>
        </w:rPr>
        <w:t>the</w:t>
      </w:r>
      <w:r>
        <w:rPr>
          <w:rFonts w:eastAsiaTheme="majorEastAsia" w:cs="Arial"/>
          <w:color w:val="000000" w:themeColor="text1"/>
        </w:rPr>
        <w:t xml:space="preserve"> </w:t>
      </w:r>
      <w:r w:rsidR="00C659BF">
        <w:rPr>
          <w:rFonts w:eastAsiaTheme="majorEastAsia" w:cs="Arial"/>
          <w:color w:val="000000" w:themeColor="text1"/>
        </w:rPr>
        <w:t>service standards set for the end of phase 1.</w:t>
      </w:r>
    </w:p>
    <w:p w14:paraId="42AE11E6" w14:textId="07F4279B" w:rsidR="00F3590B" w:rsidRPr="00DA2E7A" w:rsidRDefault="00F3590B"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Since 2014, more performance data is available through the </w:t>
      </w:r>
      <w:r w:rsidRPr="00F3590B">
        <w:rPr>
          <w:rStyle w:val="Emphasis"/>
          <w:rFonts w:cs="Arial"/>
          <w:i w:val="0"/>
          <w:iCs w:val="0"/>
          <w:color w:val="000000" w:themeColor="text1"/>
          <w:szCs w:val="24"/>
          <w:shd w:val="clear" w:color="auto" w:fill="FFFFFF"/>
        </w:rPr>
        <w:t>Association for Public Service Excellence</w:t>
      </w:r>
      <w:r>
        <w:rPr>
          <w:rFonts w:cs="Arial"/>
          <w:color w:val="000000" w:themeColor="text1"/>
          <w:szCs w:val="24"/>
          <w:shd w:val="clear" w:color="auto" w:fill="FFFFFF"/>
        </w:rPr>
        <w:t xml:space="preserve"> </w:t>
      </w:r>
      <w:r w:rsidRPr="00F3590B">
        <w:rPr>
          <w:rFonts w:cs="Arial"/>
          <w:color w:val="000000" w:themeColor="text1"/>
          <w:szCs w:val="24"/>
          <w:shd w:val="clear" w:color="auto" w:fill="FFFFFF"/>
        </w:rPr>
        <w:t>(</w:t>
      </w:r>
      <w:r w:rsidRPr="00F3590B">
        <w:rPr>
          <w:rStyle w:val="Emphasis"/>
          <w:rFonts w:cs="Arial"/>
          <w:i w:val="0"/>
          <w:iCs w:val="0"/>
          <w:color w:val="000000" w:themeColor="text1"/>
          <w:szCs w:val="24"/>
          <w:shd w:val="clear" w:color="auto" w:fill="FFFFFF"/>
        </w:rPr>
        <w:t>APSE</w:t>
      </w:r>
      <w:r w:rsidRPr="00F3590B">
        <w:rPr>
          <w:rFonts w:cs="Arial"/>
          <w:color w:val="000000" w:themeColor="text1"/>
          <w:szCs w:val="24"/>
          <w:shd w:val="clear" w:color="auto" w:fill="FFFFFF"/>
        </w:rPr>
        <w:t>)</w:t>
      </w:r>
      <w:r w:rsidRPr="00F3590B">
        <w:rPr>
          <w:rFonts w:eastAsiaTheme="majorEastAsia" w:cs="Arial"/>
          <w:color w:val="000000" w:themeColor="text1"/>
          <w:szCs w:val="24"/>
        </w:rPr>
        <w:t xml:space="preserve"> network</w:t>
      </w:r>
      <w:r>
        <w:rPr>
          <w:rFonts w:eastAsiaTheme="majorEastAsia" w:cs="Arial"/>
          <w:color w:val="000000" w:themeColor="text1"/>
          <w:szCs w:val="24"/>
        </w:rPr>
        <w:t>.</w:t>
      </w:r>
      <w:r w:rsidR="00AF0030">
        <w:rPr>
          <w:rFonts w:eastAsiaTheme="majorEastAsia" w:cs="Arial"/>
          <w:color w:val="000000" w:themeColor="text1"/>
          <w:szCs w:val="24"/>
        </w:rPr>
        <w:t xml:space="preserve">  This has shown that had we achieved some of these targets we would have exceeded the performance of some </w:t>
      </w:r>
      <w:r w:rsidR="002E7D75">
        <w:rPr>
          <w:rFonts w:eastAsiaTheme="majorEastAsia" w:cs="Arial"/>
          <w:color w:val="000000" w:themeColor="text1"/>
          <w:szCs w:val="24"/>
        </w:rPr>
        <w:t xml:space="preserve">top </w:t>
      </w:r>
      <w:r w:rsidR="00AF0030">
        <w:rPr>
          <w:rFonts w:eastAsiaTheme="majorEastAsia" w:cs="Arial"/>
          <w:color w:val="000000" w:themeColor="text1"/>
          <w:szCs w:val="24"/>
        </w:rPr>
        <w:t xml:space="preserve">quartile authorities. The use of the APSE performance data </w:t>
      </w:r>
      <w:r>
        <w:rPr>
          <w:rFonts w:eastAsiaTheme="majorEastAsia" w:cs="Arial"/>
          <w:color w:val="000000" w:themeColor="text1"/>
          <w:szCs w:val="24"/>
        </w:rPr>
        <w:t>has enabled us to</w:t>
      </w:r>
      <w:r w:rsidR="007453BE">
        <w:rPr>
          <w:rFonts w:eastAsiaTheme="majorEastAsia" w:cs="Arial"/>
          <w:color w:val="000000" w:themeColor="text1"/>
          <w:szCs w:val="24"/>
        </w:rPr>
        <w:t xml:space="preserve"> set more realistic and achievable</w:t>
      </w:r>
      <w:r>
        <w:rPr>
          <w:rFonts w:eastAsiaTheme="majorEastAsia" w:cs="Arial"/>
          <w:color w:val="000000" w:themeColor="text1"/>
          <w:szCs w:val="24"/>
        </w:rPr>
        <w:t xml:space="preserve"> service standards</w:t>
      </w:r>
      <w:r w:rsidR="002E7D75">
        <w:rPr>
          <w:rFonts w:eastAsiaTheme="majorEastAsia" w:cs="Arial"/>
          <w:color w:val="000000" w:themeColor="text1"/>
          <w:szCs w:val="24"/>
        </w:rPr>
        <w:t xml:space="preserve"> for Phase 2</w:t>
      </w:r>
      <w:r w:rsidR="00AF0030">
        <w:rPr>
          <w:rFonts w:eastAsiaTheme="majorEastAsia" w:cs="Arial"/>
          <w:color w:val="000000" w:themeColor="text1"/>
          <w:szCs w:val="24"/>
        </w:rPr>
        <w:t>.</w:t>
      </w:r>
      <w:r w:rsidRPr="00F3590B">
        <w:rPr>
          <w:rFonts w:eastAsiaTheme="majorEastAsia" w:cs="Arial"/>
          <w:color w:val="000000" w:themeColor="text1"/>
        </w:rPr>
        <w:t xml:space="preserve"> </w:t>
      </w:r>
    </w:p>
    <w:p w14:paraId="47564405" w14:textId="672DAE23" w:rsidR="00C659BF" w:rsidRPr="00786595"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Lifecycle </w:t>
      </w:r>
      <w:r w:rsidRPr="00FE1236">
        <w:rPr>
          <w:rFonts w:eastAsiaTheme="majorEastAsia" w:cs="Arial"/>
          <w:color w:val="000000" w:themeColor="text1"/>
        </w:rPr>
        <w:t xml:space="preserve">modelling </w:t>
      </w:r>
      <w:r>
        <w:rPr>
          <w:rFonts w:eastAsiaTheme="majorEastAsia" w:cs="Arial"/>
          <w:color w:val="000000" w:themeColor="text1"/>
        </w:rPr>
        <w:t xml:space="preserve">also </w:t>
      </w:r>
      <w:r w:rsidRPr="00FE1236">
        <w:rPr>
          <w:rFonts w:eastAsiaTheme="majorEastAsia" w:cs="Arial"/>
          <w:color w:val="000000" w:themeColor="text1"/>
        </w:rPr>
        <w:t>suggest</w:t>
      </w:r>
      <w:r>
        <w:rPr>
          <w:rFonts w:eastAsiaTheme="majorEastAsia" w:cs="Arial"/>
          <w:color w:val="000000" w:themeColor="text1"/>
        </w:rPr>
        <w:t>s</w:t>
      </w:r>
      <w:r w:rsidRPr="00FE1236">
        <w:rPr>
          <w:rFonts w:eastAsiaTheme="majorEastAsia" w:cs="Arial"/>
          <w:color w:val="000000" w:themeColor="text1"/>
        </w:rPr>
        <w:t xml:space="preserve"> the </w:t>
      </w:r>
      <w:r>
        <w:rPr>
          <w:rFonts w:eastAsiaTheme="majorEastAsia" w:cs="Arial"/>
          <w:color w:val="000000" w:themeColor="text1"/>
        </w:rPr>
        <w:t xml:space="preserve">investment in Phase 2 </w:t>
      </w:r>
      <w:r w:rsidR="00AF0030">
        <w:rPr>
          <w:rFonts w:eastAsiaTheme="majorEastAsia" w:cs="Arial"/>
          <w:color w:val="000000" w:themeColor="text1"/>
        </w:rPr>
        <w:t xml:space="preserve">should be </w:t>
      </w:r>
      <w:r w:rsidR="00B943F3">
        <w:rPr>
          <w:rFonts w:eastAsiaTheme="majorEastAsia" w:cs="Arial"/>
          <w:color w:val="000000" w:themeColor="text1"/>
        </w:rPr>
        <w:t>higher than initially expected</w:t>
      </w:r>
      <w:r>
        <w:rPr>
          <w:rFonts w:eastAsiaTheme="majorEastAsia" w:cs="Arial"/>
          <w:color w:val="000000" w:themeColor="text1"/>
        </w:rPr>
        <w:t xml:space="preserve"> for the A, B &amp; C road networks in order that their condition can </w:t>
      </w:r>
      <w:r w:rsidR="000A2325">
        <w:rPr>
          <w:rFonts w:eastAsiaTheme="majorEastAsia" w:cs="Arial"/>
          <w:color w:val="000000" w:themeColor="text1"/>
        </w:rPr>
        <w:t xml:space="preserve">be </w:t>
      </w:r>
      <w:r>
        <w:rPr>
          <w:rFonts w:eastAsiaTheme="majorEastAsia" w:cs="Arial"/>
          <w:color w:val="000000" w:themeColor="text1"/>
        </w:rPr>
        <w:t xml:space="preserve">improved </w:t>
      </w:r>
      <w:r w:rsidR="00B943F3">
        <w:rPr>
          <w:rFonts w:eastAsiaTheme="majorEastAsia" w:cs="Arial"/>
          <w:color w:val="000000" w:themeColor="text1"/>
        </w:rPr>
        <w:t xml:space="preserve">and </w:t>
      </w:r>
      <w:r w:rsidR="00B943F3">
        <w:rPr>
          <w:rFonts w:eastAsiaTheme="majorEastAsia" w:cs="Arial"/>
          <w:color w:val="000000" w:themeColor="text1"/>
        </w:rPr>
        <w:t xml:space="preserve">maintained </w:t>
      </w:r>
      <w:r>
        <w:rPr>
          <w:rFonts w:eastAsiaTheme="majorEastAsia" w:cs="Arial"/>
          <w:color w:val="000000" w:themeColor="text1"/>
        </w:rPr>
        <w:t>to a condition whereby going forward it will be easier to maintain them in a better condition than otherwise would be the case.</w:t>
      </w:r>
    </w:p>
    <w:p w14:paraId="653FDABB" w14:textId="3CA02932" w:rsidR="00C659BF" w:rsidRPr="00F3590B"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Lifecycle modelling based on the video survey data suggests that the </w:t>
      </w:r>
      <w:r w:rsidR="00AF0030">
        <w:rPr>
          <w:rFonts w:eastAsiaTheme="majorEastAsia" w:cs="Arial"/>
          <w:color w:val="000000" w:themeColor="text1"/>
        </w:rPr>
        <w:t>r</w:t>
      </w:r>
      <w:r>
        <w:rPr>
          <w:rFonts w:eastAsiaTheme="majorEastAsia" w:cs="Arial"/>
          <w:color w:val="000000" w:themeColor="text1"/>
        </w:rPr>
        <w:t xml:space="preserve">ural </w:t>
      </w:r>
      <w:r w:rsidR="00AF0030">
        <w:rPr>
          <w:rFonts w:eastAsiaTheme="majorEastAsia" w:cs="Arial"/>
          <w:color w:val="000000" w:themeColor="text1"/>
        </w:rPr>
        <w:t>u</w:t>
      </w:r>
      <w:r>
        <w:rPr>
          <w:rFonts w:eastAsiaTheme="majorEastAsia" w:cs="Arial"/>
          <w:color w:val="000000" w:themeColor="text1"/>
        </w:rPr>
        <w:t xml:space="preserve">nclassified network requires less investment than the 2014 TAMP suggested.  This survey work also suggests that the </w:t>
      </w:r>
      <w:r w:rsidR="00AF0030">
        <w:rPr>
          <w:rFonts w:eastAsiaTheme="majorEastAsia" w:cs="Arial"/>
          <w:color w:val="000000" w:themeColor="text1"/>
        </w:rPr>
        <w:t>u</w:t>
      </w:r>
      <w:r>
        <w:rPr>
          <w:rFonts w:eastAsiaTheme="majorEastAsia" w:cs="Arial"/>
          <w:color w:val="000000" w:themeColor="text1"/>
        </w:rPr>
        <w:t xml:space="preserve">rban </w:t>
      </w:r>
      <w:r w:rsidR="00AF0030">
        <w:rPr>
          <w:rFonts w:eastAsiaTheme="majorEastAsia" w:cs="Arial"/>
          <w:color w:val="000000" w:themeColor="text1"/>
        </w:rPr>
        <w:t>u</w:t>
      </w:r>
      <w:r>
        <w:rPr>
          <w:rFonts w:eastAsiaTheme="majorEastAsia" w:cs="Arial"/>
          <w:color w:val="000000" w:themeColor="text1"/>
        </w:rPr>
        <w:t>nclassified (</w:t>
      </w:r>
      <w:r w:rsidR="00AF0030">
        <w:rPr>
          <w:rFonts w:eastAsiaTheme="majorEastAsia" w:cs="Arial"/>
          <w:color w:val="000000" w:themeColor="text1"/>
        </w:rPr>
        <w:t>i.e. res</w:t>
      </w:r>
      <w:r>
        <w:rPr>
          <w:rFonts w:eastAsiaTheme="majorEastAsia" w:cs="Arial"/>
          <w:color w:val="000000" w:themeColor="text1"/>
        </w:rPr>
        <w:t>idential</w:t>
      </w:r>
      <w:r w:rsidR="00AF0030">
        <w:rPr>
          <w:rFonts w:eastAsiaTheme="majorEastAsia" w:cs="Arial"/>
          <w:color w:val="000000" w:themeColor="text1"/>
        </w:rPr>
        <w:t xml:space="preserve"> estates etc</w:t>
      </w:r>
      <w:r>
        <w:rPr>
          <w:rFonts w:eastAsiaTheme="majorEastAsia" w:cs="Arial"/>
          <w:color w:val="000000" w:themeColor="text1"/>
        </w:rPr>
        <w:t xml:space="preserve">) network requires an investment similar to that anticipated in the 2014 TAMP for the first two years, but requires substantial investment in years 3 </w:t>
      </w:r>
      <w:r w:rsidR="00AF0030">
        <w:rPr>
          <w:rFonts w:eastAsiaTheme="majorEastAsia" w:cs="Arial"/>
          <w:color w:val="000000" w:themeColor="text1"/>
        </w:rPr>
        <w:t>to</w:t>
      </w:r>
      <w:r>
        <w:rPr>
          <w:rFonts w:eastAsiaTheme="majorEastAsia" w:cs="Arial"/>
          <w:color w:val="000000" w:themeColor="text1"/>
        </w:rPr>
        <w:t xml:space="preserve"> 5 in order that they can be brought up to a standard where</w:t>
      </w:r>
      <w:r w:rsidR="000A2325">
        <w:rPr>
          <w:rFonts w:eastAsiaTheme="majorEastAsia" w:cs="Arial"/>
          <w:color w:val="000000" w:themeColor="text1"/>
        </w:rPr>
        <w:t>,</w:t>
      </w:r>
      <w:r>
        <w:rPr>
          <w:rFonts w:eastAsiaTheme="majorEastAsia" w:cs="Arial"/>
          <w:color w:val="000000" w:themeColor="text1"/>
        </w:rPr>
        <w:t xml:space="preserve"> going forward</w:t>
      </w:r>
      <w:r w:rsidR="000A2325">
        <w:rPr>
          <w:rFonts w:eastAsiaTheme="majorEastAsia" w:cs="Arial"/>
          <w:color w:val="000000" w:themeColor="text1"/>
        </w:rPr>
        <w:t>,</w:t>
      </w:r>
      <w:r>
        <w:rPr>
          <w:rFonts w:eastAsiaTheme="majorEastAsia" w:cs="Arial"/>
          <w:color w:val="000000" w:themeColor="text1"/>
        </w:rPr>
        <w:t xml:space="preserve"> it will be easier to maintain them in a better condition than otherwise would be the case.</w:t>
      </w:r>
    </w:p>
    <w:p w14:paraId="3F01657C" w14:textId="67592C5E" w:rsidR="00F3590B" w:rsidRPr="00786595" w:rsidRDefault="00F3590B" w:rsidP="00A8347F">
      <w:pPr>
        <w:pStyle w:val="ListParagraph"/>
        <w:numPr>
          <w:ilvl w:val="0"/>
          <w:numId w:val="32"/>
        </w:numPr>
        <w:spacing w:after="0"/>
        <w:ind w:left="357" w:hanging="357"/>
        <w:jc w:val="both"/>
        <w:rPr>
          <w:rFonts w:cs="Arial"/>
        </w:rPr>
      </w:pPr>
      <w:r>
        <w:rPr>
          <w:color w:val="000000" w:themeColor="text1"/>
        </w:rPr>
        <w:t xml:space="preserve">The </w:t>
      </w:r>
      <w:r w:rsidR="00AF0030">
        <w:rPr>
          <w:color w:val="000000" w:themeColor="text1"/>
        </w:rPr>
        <w:t xml:space="preserve">rural and urban </w:t>
      </w:r>
      <w:r>
        <w:rPr>
          <w:color w:val="000000" w:themeColor="text1"/>
        </w:rPr>
        <w:t xml:space="preserve">unclassified road networks have been video surveyed and the results analysed.  We are </w:t>
      </w:r>
      <w:r w:rsidR="00AF0030">
        <w:rPr>
          <w:color w:val="000000" w:themeColor="text1"/>
        </w:rPr>
        <w:t xml:space="preserve">currently working with </w:t>
      </w:r>
      <w:r w:rsidR="00B943F3">
        <w:rPr>
          <w:color w:val="000000" w:themeColor="text1"/>
        </w:rPr>
        <w:t>benchmarking partners and the Department for Transport</w:t>
      </w:r>
      <w:r>
        <w:rPr>
          <w:color w:val="000000" w:themeColor="text1"/>
        </w:rPr>
        <w:t xml:space="preserve"> with regards which attributes</w:t>
      </w:r>
      <w:r w:rsidR="000A2325">
        <w:rPr>
          <w:color w:val="000000" w:themeColor="text1"/>
        </w:rPr>
        <w:t xml:space="preserve"> that</w:t>
      </w:r>
      <w:r>
        <w:rPr>
          <w:color w:val="000000" w:themeColor="text1"/>
        </w:rPr>
        <w:t xml:space="preserve"> ought to be included in the road condition calculation.  Once </w:t>
      </w:r>
      <w:r w:rsidR="00AF0030">
        <w:rPr>
          <w:color w:val="000000" w:themeColor="text1"/>
        </w:rPr>
        <w:t xml:space="preserve">there is a consensus, </w:t>
      </w:r>
      <w:r>
        <w:rPr>
          <w:color w:val="000000" w:themeColor="text1"/>
        </w:rPr>
        <w:t>we will be able to determine a service standard that is directly comparable with other highway authorities who use this survey method</w:t>
      </w:r>
      <w:r w:rsidR="00AF0030">
        <w:rPr>
          <w:color w:val="000000" w:themeColor="text1"/>
        </w:rPr>
        <w:t>ology.</w:t>
      </w:r>
    </w:p>
    <w:p w14:paraId="5DB7354A" w14:textId="6307FDBE" w:rsidR="00C659BF" w:rsidRPr="00786595" w:rsidRDefault="00C659BF" w:rsidP="00A8347F">
      <w:pPr>
        <w:pStyle w:val="ListParagraph"/>
        <w:numPr>
          <w:ilvl w:val="0"/>
          <w:numId w:val="32"/>
        </w:numPr>
        <w:spacing w:after="0"/>
        <w:ind w:left="357" w:hanging="357"/>
        <w:jc w:val="both"/>
        <w:rPr>
          <w:rFonts w:cs="Arial"/>
        </w:rPr>
      </w:pPr>
      <w:r w:rsidRPr="00FE1236">
        <w:rPr>
          <w:rFonts w:eastAsiaTheme="majorEastAsia" w:cs="Arial"/>
          <w:color w:val="000000" w:themeColor="text1"/>
        </w:rPr>
        <w:t xml:space="preserve">Moss Roads require </w:t>
      </w:r>
      <w:r>
        <w:rPr>
          <w:rFonts w:eastAsiaTheme="majorEastAsia" w:cs="Arial"/>
          <w:color w:val="000000" w:themeColor="text1"/>
        </w:rPr>
        <w:t>a consistent investment in Phase 2 (and part of Phase 3) in order that they can be brought up to a standard where</w:t>
      </w:r>
      <w:r w:rsidR="000A2325">
        <w:rPr>
          <w:rFonts w:eastAsiaTheme="majorEastAsia" w:cs="Arial"/>
          <w:color w:val="000000" w:themeColor="text1"/>
        </w:rPr>
        <w:t>,</w:t>
      </w:r>
      <w:r>
        <w:rPr>
          <w:rFonts w:eastAsiaTheme="majorEastAsia" w:cs="Arial"/>
          <w:color w:val="000000" w:themeColor="text1"/>
        </w:rPr>
        <w:t xml:space="preserve"> going forward</w:t>
      </w:r>
      <w:r w:rsidR="000A2325">
        <w:rPr>
          <w:rFonts w:eastAsiaTheme="majorEastAsia" w:cs="Arial"/>
          <w:color w:val="000000" w:themeColor="text1"/>
        </w:rPr>
        <w:t>,</w:t>
      </w:r>
      <w:r>
        <w:rPr>
          <w:rFonts w:eastAsiaTheme="majorEastAsia" w:cs="Arial"/>
          <w:color w:val="000000" w:themeColor="text1"/>
        </w:rPr>
        <w:t xml:space="preserve"> it will be easier to maintain them in a better condition than otherwise would be the case.  The approved Moss Road Strategy will be used to guide future investment decisions.</w:t>
      </w:r>
    </w:p>
    <w:p w14:paraId="58842D4D" w14:textId="15102F56" w:rsidR="00C659BF" w:rsidRPr="006A3608" w:rsidRDefault="00C659BF" w:rsidP="00A8347F">
      <w:pPr>
        <w:pStyle w:val="ListParagraph"/>
        <w:numPr>
          <w:ilvl w:val="0"/>
          <w:numId w:val="32"/>
        </w:numPr>
        <w:spacing w:after="0"/>
        <w:ind w:left="357" w:hanging="357"/>
        <w:jc w:val="both"/>
        <w:rPr>
          <w:rFonts w:cs="Arial"/>
        </w:rPr>
      </w:pPr>
      <w:r w:rsidRPr="00FE1236">
        <w:rPr>
          <w:rFonts w:eastAsiaTheme="majorEastAsia" w:cs="Arial"/>
          <w:color w:val="000000" w:themeColor="text1"/>
        </w:rPr>
        <w:lastRenderedPageBreak/>
        <w:t xml:space="preserve">Expenditure on </w:t>
      </w:r>
      <w:r>
        <w:rPr>
          <w:rFonts w:eastAsiaTheme="majorEastAsia" w:cs="Arial"/>
          <w:color w:val="000000" w:themeColor="text1"/>
        </w:rPr>
        <w:t>s</w:t>
      </w:r>
      <w:r w:rsidRPr="00FE1236">
        <w:rPr>
          <w:rFonts w:eastAsiaTheme="majorEastAsia" w:cs="Arial"/>
          <w:color w:val="000000" w:themeColor="text1"/>
        </w:rPr>
        <w:t xml:space="preserve">tructural </w:t>
      </w:r>
      <w:r>
        <w:rPr>
          <w:rFonts w:eastAsiaTheme="majorEastAsia" w:cs="Arial"/>
          <w:color w:val="000000" w:themeColor="text1"/>
        </w:rPr>
        <w:t>d</w:t>
      </w:r>
      <w:r w:rsidRPr="00FE1236">
        <w:rPr>
          <w:rFonts w:eastAsiaTheme="majorEastAsia" w:cs="Arial"/>
          <w:color w:val="000000" w:themeColor="text1"/>
        </w:rPr>
        <w:t xml:space="preserve">efects over the last few years has been in the region of £8m with </w:t>
      </w:r>
      <w:r w:rsidR="000A2325">
        <w:rPr>
          <w:rFonts w:eastAsiaTheme="majorEastAsia" w:cs="Arial"/>
          <w:color w:val="000000" w:themeColor="text1"/>
        </w:rPr>
        <w:t xml:space="preserve">an </w:t>
      </w:r>
      <w:r w:rsidRPr="00FE1236">
        <w:rPr>
          <w:rFonts w:eastAsiaTheme="majorEastAsia" w:cs="Arial"/>
          <w:color w:val="000000" w:themeColor="text1"/>
        </w:rPr>
        <w:t xml:space="preserve">additional £1m </w:t>
      </w:r>
      <w:r>
        <w:rPr>
          <w:rFonts w:eastAsiaTheme="majorEastAsia" w:cs="Arial"/>
          <w:color w:val="000000" w:themeColor="text1"/>
        </w:rPr>
        <w:t xml:space="preserve">spent </w:t>
      </w:r>
      <w:r w:rsidRPr="00FE1236">
        <w:rPr>
          <w:rFonts w:eastAsiaTheme="majorEastAsia" w:cs="Arial"/>
          <w:color w:val="000000" w:themeColor="text1"/>
        </w:rPr>
        <w:t xml:space="preserve">on spray injection patching. </w:t>
      </w:r>
      <w:r>
        <w:rPr>
          <w:rFonts w:eastAsiaTheme="majorEastAsia" w:cs="Arial"/>
          <w:color w:val="000000" w:themeColor="text1"/>
        </w:rPr>
        <w:t xml:space="preserve"> In</w:t>
      </w:r>
      <w:r w:rsidRPr="00FE1236">
        <w:rPr>
          <w:rFonts w:eastAsiaTheme="majorEastAsia" w:cs="Arial"/>
          <w:color w:val="000000" w:themeColor="text1"/>
        </w:rPr>
        <w:t>creased</w:t>
      </w:r>
      <w:r>
        <w:rPr>
          <w:rFonts w:eastAsiaTheme="majorEastAsia" w:cs="Arial"/>
          <w:color w:val="000000" w:themeColor="text1"/>
        </w:rPr>
        <w:t xml:space="preserve"> investment in the highway network as outlined above should reduce need for this activity by the end of Phase 2.</w:t>
      </w:r>
    </w:p>
    <w:p w14:paraId="61CABF82" w14:textId="449E5BEF" w:rsidR="00C659BF" w:rsidRPr="0019773E"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The average condition of our bridge stock has remained </w:t>
      </w:r>
      <w:r w:rsidR="00AF0030">
        <w:rPr>
          <w:rFonts w:eastAsiaTheme="majorEastAsia" w:cs="Arial"/>
          <w:color w:val="000000" w:themeColor="text1"/>
        </w:rPr>
        <w:t>steady</w:t>
      </w:r>
      <w:r>
        <w:rPr>
          <w:rFonts w:eastAsiaTheme="majorEastAsia" w:cs="Arial"/>
          <w:color w:val="000000" w:themeColor="text1"/>
        </w:rPr>
        <w:t xml:space="preserve"> over Phase 1.  Work has been undertaken to establish a mechanism whereby the bridge stock condition we report in future better reflects our priorities as set out in the Structures Life</w:t>
      </w:r>
      <w:r w:rsidR="000A2325">
        <w:rPr>
          <w:rFonts w:eastAsiaTheme="majorEastAsia" w:cs="Arial"/>
          <w:color w:val="000000" w:themeColor="text1"/>
        </w:rPr>
        <w:t>c</w:t>
      </w:r>
      <w:r>
        <w:rPr>
          <w:rFonts w:eastAsiaTheme="majorEastAsia" w:cs="Arial"/>
          <w:color w:val="000000" w:themeColor="text1"/>
        </w:rPr>
        <w:t>ycle Plan.</w:t>
      </w:r>
    </w:p>
    <w:p w14:paraId="3A21C494" w14:textId="474F0B83" w:rsidR="00C659BF" w:rsidRPr="0019773E"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The current TAMP allocation for bridges and similar structures did not provide sufficient funding for Principle Bridge Inspections or other </w:t>
      </w:r>
      <w:r w:rsidR="0075611F">
        <w:rPr>
          <w:rFonts w:eastAsiaTheme="majorEastAsia" w:cs="Arial"/>
          <w:color w:val="000000" w:themeColor="text1"/>
        </w:rPr>
        <w:t>risk-based</w:t>
      </w:r>
      <w:r>
        <w:rPr>
          <w:rFonts w:eastAsiaTheme="majorEastAsia" w:cs="Arial"/>
          <w:color w:val="000000" w:themeColor="text1"/>
        </w:rPr>
        <w:t xml:space="preserve"> assessments such as scour assessments etc. </w:t>
      </w:r>
      <w:r w:rsidR="0075611F">
        <w:rPr>
          <w:rFonts w:eastAsiaTheme="majorEastAsia" w:cs="Arial"/>
          <w:color w:val="000000" w:themeColor="text1"/>
        </w:rPr>
        <w:t xml:space="preserve"> </w:t>
      </w:r>
      <w:r>
        <w:rPr>
          <w:rFonts w:eastAsiaTheme="majorEastAsia" w:cs="Arial"/>
          <w:color w:val="000000" w:themeColor="text1"/>
        </w:rPr>
        <w:t>The Authority is substantially at risk if these condition inspections are not undertaken and a bridge failure occurs.</w:t>
      </w:r>
      <w:r w:rsidR="00B943F3">
        <w:rPr>
          <w:rFonts w:eastAsiaTheme="majorEastAsia" w:cs="Arial"/>
          <w:color w:val="000000" w:themeColor="text1"/>
        </w:rPr>
        <w:t xml:space="preserve"> </w:t>
      </w:r>
      <w:bookmarkStart w:id="0" w:name="_Hlk68872452"/>
      <w:r w:rsidR="0075611F">
        <w:rPr>
          <w:rFonts w:eastAsiaTheme="majorEastAsia" w:cs="Arial"/>
          <w:color w:val="000000" w:themeColor="text1"/>
        </w:rPr>
        <w:t xml:space="preserve"> </w:t>
      </w:r>
      <w:r w:rsidR="00B943F3">
        <w:rPr>
          <w:rFonts w:eastAsiaTheme="majorEastAsia" w:cs="Arial"/>
          <w:color w:val="000000" w:themeColor="text1"/>
        </w:rPr>
        <w:t xml:space="preserve">TAMP Phase 2 allocations now allows for more comprehensive inspections </w:t>
      </w:r>
      <w:bookmarkEnd w:id="0"/>
      <w:r w:rsidR="00B943F3">
        <w:rPr>
          <w:rFonts w:eastAsiaTheme="majorEastAsia" w:cs="Arial"/>
          <w:color w:val="000000" w:themeColor="text1"/>
        </w:rPr>
        <w:t>and assessments.</w:t>
      </w:r>
    </w:p>
    <w:p w14:paraId="11E36545" w14:textId="30BE7E8A" w:rsidR="00E16A6F" w:rsidRDefault="00C659BF" w:rsidP="00A8347F">
      <w:pPr>
        <w:pStyle w:val="ListParagraph"/>
        <w:numPr>
          <w:ilvl w:val="0"/>
          <w:numId w:val="32"/>
        </w:numPr>
        <w:spacing w:after="0"/>
        <w:ind w:left="357" w:hanging="357"/>
        <w:jc w:val="both"/>
        <w:rPr>
          <w:rFonts w:cs="Arial"/>
        </w:rPr>
      </w:pPr>
      <w:r w:rsidRPr="004D1C93">
        <w:rPr>
          <w:rFonts w:cs="Arial"/>
        </w:rPr>
        <w:t>As the rate of street lighting renewal has not kept up the rate of decay, many columns have remained in use long after their recommended service life has passed, resulting in a backlog of aging columns.</w:t>
      </w:r>
      <w:r>
        <w:rPr>
          <w:rFonts w:cs="Arial"/>
        </w:rPr>
        <w:t xml:space="preserve">  </w:t>
      </w:r>
      <w:r w:rsidR="00E16A6F">
        <w:rPr>
          <w:rFonts w:cs="Arial"/>
        </w:rPr>
        <w:t xml:space="preserve">The street lighting service standard </w:t>
      </w:r>
      <w:r w:rsidR="00B943F3">
        <w:rPr>
          <w:rFonts w:cs="Arial"/>
        </w:rPr>
        <w:t>has been</w:t>
      </w:r>
      <w:r w:rsidR="00E16A6F">
        <w:rPr>
          <w:rFonts w:cs="Arial"/>
        </w:rPr>
        <w:t xml:space="preserve"> changed in Phase 2 so that it better reflects this increasing backlog.</w:t>
      </w:r>
    </w:p>
    <w:p w14:paraId="3C7F4040" w14:textId="0A39A79C" w:rsidR="00C659BF" w:rsidRPr="00096E60" w:rsidRDefault="00E16A6F" w:rsidP="00A8347F">
      <w:pPr>
        <w:pStyle w:val="ListParagraph"/>
        <w:numPr>
          <w:ilvl w:val="0"/>
          <w:numId w:val="32"/>
        </w:numPr>
        <w:spacing w:after="0"/>
        <w:ind w:left="357" w:hanging="357"/>
        <w:jc w:val="both"/>
        <w:rPr>
          <w:rFonts w:cs="Arial"/>
        </w:rPr>
      </w:pPr>
      <w:r>
        <w:rPr>
          <w:rFonts w:cs="Arial"/>
        </w:rPr>
        <w:t xml:space="preserve">As our increasing lighting column stock </w:t>
      </w:r>
      <w:r w:rsidR="0075611F">
        <w:rPr>
          <w:rFonts w:cs="Arial"/>
        </w:rPr>
        <w:t xml:space="preserve">continues to </w:t>
      </w:r>
      <w:r>
        <w:rPr>
          <w:rFonts w:cs="Arial"/>
        </w:rPr>
        <w:t>age, it is essential that the county council continues to proactively t</w:t>
      </w:r>
      <w:r w:rsidR="00C659BF" w:rsidRPr="004D1C93">
        <w:rPr>
          <w:rFonts w:cs="Arial"/>
        </w:rPr>
        <w:t>es</w:t>
      </w:r>
      <w:r>
        <w:rPr>
          <w:rFonts w:cs="Arial"/>
        </w:rPr>
        <w:t xml:space="preserve">t our columns so </w:t>
      </w:r>
      <w:r w:rsidR="000A2325">
        <w:rPr>
          <w:rFonts w:cs="Arial"/>
        </w:rPr>
        <w:t xml:space="preserve">we </w:t>
      </w:r>
      <w:r w:rsidR="00252F59">
        <w:rPr>
          <w:rFonts w:cs="Arial"/>
        </w:rPr>
        <w:t>can</w:t>
      </w:r>
      <w:r w:rsidR="00C659BF">
        <w:rPr>
          <w:rFonts w:cs="Arial"/>
        </w:rPr>
        <w:t xml:space="preserve"> safely </w:t>
      </w:r>
      <w:r w:rsidR="00C659BF" w:rsidRPr="004D1C93">
        <w:rPr>
          <w:rFonts w:cs="Arial"/>
        </w:rPr>
        <w:t>extend the</w:t>
      </w:r>
      <w:r w:rsidR="0075611F">
        <w:rPr>
          <w:rFonts w:cs="Arial"/>
        </w:rPr>
        <w:t>ir</w:t>
      </w:r>
      <w:r w:rsidR="00C659BF" w:rsidRPr="004D1C93">
        <w:rPr>
          <w:rFonts w:cs="Arial"/>
        </w:rPr>
        <w:t xml:space="preserve"> recommended service life.</w:t>
      </w:r>
      <w:r w:rsidR="0075611F">
        <w:rPr>
          <w:rFonts w:cs="Arial"/>
        </w:rPr>
        <w:t xml:space="preserve"> </w:t>
      </w:r>
      <w:r w:rsidR="00B943F3" w:rsidRPr="00B943F3">
        <w:rPr>
          <w:rFonts w:eastAsiaTheme="majorEastAsia" w:cs="Arial"/>
          <w:color w:val="000000" w:themeColor="text1"/>
        </w:rPr>
        <w:t xml:space="preserve"> </w:t>
      </w:r>
      <w:r w:rsidR="00B943F3">
        <w:rPr>
          <w:rFonts w:eastAsiaTheme="majorEastAsia" w:cs="Arial"/>
          <w:color w:val="000000" w:themeColor="text1"/>
        </w:rPr>
        <w:t xml:space="preserve">TAMP Phase 2 allocations now allow for more </w:t>
      </w:r>
      <w:r w:rsidR="00FE039B">
        <w:rPr>
          <w:rFonts w:eastAsiaTheme="majorEastAsia" w:cs="Arial"/>
          <w:color w:val="000000" w:themeColor="text1"/>
        </w:rPr>
        <w:t xml:space="preserve">structural </w:t>
      </w:r>
      <w:r w:rsidR="00B943F3">
        <w:rPr>
          <w:rFonts w:eastAsiaTheme="majorEastAsia" w:cs="Arial"/>
          <w:color w:val="000000" w:themeColor="text1"/>
        </w:rPr>
        <w:t>inspections</w:t>
      </w:r>
      <w:r w:rsidR="0075611F">
        <w:rPr>
          <w:rFonts w:eastAsiaTheme="majorEastAsia" w:cs="Arial"/>
          <w:color w:val="000000" w:themeColor="text1"/>
        </w:rPr>
        <w:t>.</w:t>
      </w:r>
    </w:p>
    <w:p w14:paraId="2EBAEA12" w14:textId="10815D58" w:rsidR="0075611F" w:rsidRPr="0075611F" w:rsidRDefault="0075611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It has become evident that the TAMP provision for our traffic signal assets was inadequate in Phase 1 as </w:t>
      </w:r>
      <w:r w:rsidR="00C659BF">
        <w:rPr>
          <w:rFonts w:eastAsiaTheme="majorEastAsia" w:cs="Arial"/>
          <w:color w:val="000000" w:themeColor="text1"/>
        </w:rPr>
        <w:t xml:space="preserve">62% of signals and 68% of pedestrian crossings </w:t>
      </w:r>
      <w:r>
        <w:rPr>
          <w:rFonts w:eastAsiaTheme="majorEastAsia" w:cs="Arial"/>
          <w:color w:val="000000" w:themeColor="text1"/>
        </w:rPr>
        <w:t xml:space="preserve">have </w:t>
      </w:r>
      <w:r w:rsidR="00C659BF">
        <w:rPr>
          <w:rFonts w:eastAsiaTheme="majorEastAsia" w:cs="Arial"/>
          <w:color w:val="000000" w:themeColor="text1"/>
        </w:rPr>
        <w:t>exceed</w:t>
      </w:r>
      <w:r>
        <w:rPr>
          <w:rFonts w:eastAsiaTheme="majorEastAsia" w:cs="Arial"/>
          <w:color w:val="000000" w:themeColor="text1"/>
        </w:rPr>
        <w:t xml:space="preserve">ed </w:t>
      </w:r>
      <w:r w:rsidR="00C659BF">
        <w:rPr>
          <w:rFonts w:eastAsiaTheme="majorEastAsia" w:cs="Arial"/>
          <w:color w:val="000000" w:themeColor="text1"/>
        </w:rPr>
        <w:t xml:space="preserve">national guidelines </w:t>
      </w:r>
      <w:r>
        <w:rPr>
          <w:rFonts w:eastAsiaTheme="majorEastAsia" w:cs="Arial"/>
          <w:color w:val="000000" w:themeColor="text1"/>
        </w:rPr>
        <w:t xml:space="preserve">with regards replacement ages.  Steps have now been taken to address this in Phase 2.  Funding has been increased and a new service standard has been devised </w:t>
      </w:r>
      <w:r w:rsidR="00252F59">
        <w:rPr>
          <w:rFonts w:eastAsiaTheme="majorEastAsia" w:cs="Arial"/>
          <w:color w:val="000000" w:themeColor="text1"/>
        </w:rPr>
        <w:t xml:space="preserve">so that we are better able to identify </w:t>
      </w:r>
      <w:r>
        <w:rPr>
          <w:rFonts w:eastAsiaTheme="majorEastAsia" w:cs="Arial"/>
          <w:color w:val="000000" w:themeColor="text1"/>
        </w:rPr>
        <w:t>our signa</w:t>
      </w:r>
      <w:r w:rsidR="00FE039B">
        <w:rPr>
          <w:rFonts w:eastAsiaTheme="majorEastAsia" w:cs="Arial"/>
          <w:color w:val="000000" w:themeColor="text1"/>
        </w:rPr>
        <w:t>l</w:t>
      </w:r>
      <w:r>
        <w:rPr>
          <w:rFonts w:eastAsiaTheme="majorEastAsia" w:cs="Arial"/>
          <w:color w:val="000000" w:themeColor="text1"/>
        </w:rPr>
        <w:t xml:space="preserve"> </w:t>
      </w:r>
      <w:r w:rsidR="00252F59">
        <w:rPr>
          <w:rFonts w:eastAsiaTheme="majorEastAsia" w:cs="Arial"/>
          <w:color w:val="000000" w:themeColor="text1"/>
        </w:rPr>
        <w:t>priorities</w:t>
      </w:r>
      <w:r w:rsidR="00B943F3">
        <w:rPr>
          <w:rFonts w:eastAsiaTheme="majorEastAsia" w:cs="Arial"/>
          <w:color w:val="000000" w:themeColor="text1"/>
        </w:rPr>
        <w:t xml:space="preserve"> </w:t>
      </w:r>
      <w:r>
        <w:rPr>
          <w:rFonts w:eastAsiaTheme="majorEastAsia" w:cs="Arial"/>
          <w:color w:val="000000" w:themeColor="text1"/>
        </w:rPr>
        <w:t>over the next 5 years.</w:t>
      </w:r>
    </w:p>
    <w:p w14:paraId="413C3175" w14:textId="77777777" w:rsidR="00F3590B" w:rsidRDefault="00F3590B" w:rsidP="00F3590B">
      <w:pPr>
        <w:pStyle w:val="ListParagraph"/>
        <w:spacing w:after="0"/>
        <w:ind w:left="357"/>
        <w:jc w:val="both"/>
        <w:rPr>
          <w:rFonts w:cs="Arial"/>
          <w:szCs w:val="24"/>
        </w:rPr>
      </w:pPr>
    </w:p>
    <w:p w14:paraId="1C76EA47" w14:textId="4DE6B98E" w:rsidR="00C659BF" w:rsidRPr="00F3590B" w:rsidRDefault="00F3590B" w:rsidP="00F3590B">
      <w:pPr>
        <w:pStyle w:val="ListParagraph"/>
        <w:spacing w:after="0"/>
        <w:ind w:left="0"/>
        <w:jc w:val="both"/>
        <w:rPr>
          <w:rFonts w:cs="Arial"/>
        </w:rPr>
      </w:pPr>
      <w:r>
        <w:rPr>
          <w:rFonts w:cs="Arial"/>
          <w:szCs w:val="24"/>
        </w:rPr>
        <w:t>I</w:t>
      </w:r>
      <w:r w:rsidR="00C659BF" w:rsidRPr="00F3590B">
        <w:rPr>
          <w:rFonts w:cs="Arial"/>
          <w:szCs w:val="24"/>
        </w:rPr>
        <w:t xml:space="preserve">t has </w:t>
      </w:r>
      <w:r w:rsidR="0075611F">
        <w:rPr>
          <w:rFonts w:cs="Arial"/>
          <w:szCs w:val="24"/>
        </w:rPr>
        <w:t xml:space="preserve">also </w:t>
      </w:r>
      <w:r w:rsidR="00C659BF" w:rsidRPr="00F3590B">
        <w:rPr>
          <w:rFonts w:cs="Arial"/>
          <w:szCs w:val="24"/>
        </w:rPr>
        <w:t>become apparent over the last couple of years that some asset</w:t>
      </w:r>
      <w:r w:rsidR="0075611F">
        <w:rPr>
          <w:rFonts w:cs="Arial"/>
          <w:szCs w:val="24"/>
        </w:rPr>
        <w:t>s</w:t>
      </w:r>
      <w:r w:rsidR="00C659BF" w:rsidRPr="00F3590B">
        <w:rPr>
          <w:rFonts w:cs="Arial"/>
          <w:szCs w:val="24"/>
        </w:rPr>
        <w:t xml:space="preserve"> </w:t>
      </w:r>
      <w:r w:rsidR="00E45CE4" w:rsidRPr="00F3590B">
        <w:rPr>
          <w:rFonts w:cs="Arial"/>
          <w:szCs w:val="24"/>
        </w:rPr>
        <w:t>ha</w:t>
      </w:r>
      <w:r w:rsidR="00E45CE4">
        <w:rPr>
          <w:rFonts w:cs="Arial"/>
          <w:szCs w:val="24"/>
        </w:rPr>
        <w:t>ve</w:t>
      </w:r>
      <w:r w:rsidR="00C659BF" w:rsidRPr="00F3590B">
        <w:rPr>
          <w:rFonts w:cs="Arial"/>
          <w:szCs w:val="24"/>
        </w:rPr>
        <w:t xml:space="preserve"> had no capital allocation </w:t>
      </w:r>
      <w:r w:rsidR="00B943F3">
        <w:rPr>
          <w:rFonts w:cs="Arial"/>
          <w:szCs w:val="24"/>
        </w:rPr>
        <w:t xml:space="preserve">through the TAMP funding </w:t>
      </w:r>
      <w:r w:rsidR="0075611F">
        <w:rPr>
          <w:rFonts w:cs="Arial"/>
          <w:szCs w:val="24"/>
        </w:rPr>
        <w:t>mechanism and there is n</w:t>
      </w:r>
      <w:r w:rsidR="00C659BF" w:rsidRPr="00F3590B">
        <w:rPr>
          <w:rFonts w:cs="Arial"/>
          <w:szCs w:val="24"/>
        </w:rPr>
        <w:t xml:space="preserve">o provision for </w:t>
      </w:r>
      <w:r w:rsidR="00B943F3">
        <w:rPr>
          <w:rFonts w:cs="Arial"/>
          <w:szCs w:val="24"/>
        </w:rPr>
        <w:t xml:space="preserve">other maintenance </w:t>
      </w:r>
      <w:r w:rsidR="0075611F">
        <w:rPr>
          <w:rFonts w:cs="Arial"/>
          <w:szCs w:val="24"/>
        </w:rPr>
        <w:t>requirements,</w:t>
      </w:r>
      <w:r w:rsidR="00B943F3">
        <w:rPr>
          <w:rFonts w:cs="Arial"/>
          <w:szCs w:val="24"/>
        </w:rPr>
        <w:t xml:space="preserve"> such as renewal for weather stations</w:t>
      </w:r>
      <w:r w:rsidR="00C659BF" w:rsidRPr="00F3590B">
        <w:rPr>
          <w:rFonts w:cs="Arial"/>
          <w:szCs w:val="24"/>
        </w:rPr>
        <w:t xml:space="preserve">.  </w:t>
      </w:r>
      <w:proofErr w:type="gramStart"/>
      <w:r w:rsidR="00C659BF" w:rsidRPr="00F3590B">
        <w:rPr>
          <w:rFonts w:cs="Arial"/>
          <w:szCs w:val="24"/>
        </w:rPr>
        <w:t>In order to</w:t>
      </w:r>
      <w:proofErr w:type="gramEnd"/>
      <w:r w:rsidR="00C659BF" w:rsidRPr="00F3590B">
        <w:rPr>
          <w:rFonts w:cs="Arial"/>
          <w:szCs w:val="24"/>
        </w:rPr>
        <w:t xml:space="preserve"> address these </w:t>
      </w:r>
      <w:r w:rsidR="0075611F" w:rsidRPr="00F3590B">
        <w:rPr>
          <w:rFonts w:cs="Arial"/>
          <w:szCs w:val="24"/>
        </w:rPr>
        <w:t>concerns,</w:t>
      </w:r>
      <w:r w:rsidR="00C659BF" w:rsidRPr="00F3590B">
        <w:rPr>
          <w:rFonts w:cs="Arial"/>
          <w:szCs w:val="24"/>
        </w:rPr>
        <w:t xml:space="preserve"> it is proposed to provide capital funding </w:t>
      </w:r>
      <w:r w:rsidR="0075611F" w:rsidRPr="00F3590B">
        <w:rPr>
          <w:rFonts w:cs="Arial"/>
          <w:szCs w:val="24"/>
        </w:rPr>
        <w:t>for: -</w:t>
      </w:r>
    </w:p>
    <w:p w14:paraId="19065E11" w14:textId="77777777" w:rsidR="00C659BF" w:rsidRPr="006F736F" w:rsidRDefault="00C659BF" w:rsidP="00C659BF">
      <w:pPr>
        <w:spacing w:after="0"/>
        <w:jc w:val="both"/>
        <w:rPr>
          <w:rFonts w:cs="Arial"/>
          <w:szCs w:val="24"/>
        </w:rPr>
      </w:pPr>
    </w:p>
    <w:p w14:paraId="24537577" w14:textId="3F444337" w:rsidR="00C659BF" w:rsidRPr="00344CB3"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Vehicle Restraint Barriers – expenditure to be in accordance with the </w:t>
      </w:r>
      <w:r w:rsidR="0075611F">
        <w:rPr>
          <w:rFonts w:eastAsiaTheme="majorEastAsia" w:cs="Arial"/>
          <w:color w:val="000000" w:themeColor="text1"/>
        </w:rPr>
        <w:t>risk-based</w:t>
      </w:r>
      <w:r>
        <w:rPr>
          <w:rFonts w:eastAsiaTheme="majorEastAsia" w:cs="Arial"/>
          <w:color w:val="000000" w:themeColor="text1"/>
        </w:rPr>
        <w:t xml:space="preserve"> approach included in the approved Vehicle Restraint System Code of Practice.</w:t>
      </w:r>
      <w:r w:rsidR="00D8509E">
        <w:rPr>
          <w:rFonts w:eastAsiaTheme="majorEastAsia" w:cs="Arial"/>
          <w:color w:val="000000" w:themeColor="text1"/>
        </w:rPr>
        <w:t xml:space="preserve"> </w:t>
      </w:r>
      <w:hyperlink r:id="rId12" w:history="1">
        <w:r w:rsidR="00D8509E" w:rsidRPr="00D8509E">
          <w:rPr>
            <w:color w:val="0000FF"/>
            <w:u w:val="single"/>
          </w:rPr>
          <w:t>Codes of practice - Lancashire County Council</w:t>
        </w:r>
      </w:hyperlink>
    </w:p>
    <w:p w14:paraId="30CE0E0E" w14:textId="168B9CB2" w:rsidR="00C659BF" w:rsidRPr="006F736F" w:rsidRDefault="00C659BF" w:rsidP="00A8347F">
      <w:pPr>
        <w:pStyle w:val="ListParagraph"/>
        <w:numPr>
          <w:ilvl w:val="0"/>
          <w:numId w:val="32"/>
        </w:numPr>
        <w:spacing w:after="0"/>
        <w:ind w:left="357" w:hanging="357"/>
        <w:jc w:val="both"/>
        <w:rPr>
          <w:rFonts w:cs="Arial"/>
        </w:rPr>
      </w:pPr>
      <w:r>
        <w:rPr>
          <w:rFonts w:eastAsiaTheme="majorEastAsia" w:cs="Arial"/>
          <w:color w:val="000000" w:themeColor="text1"/>
        </w:rPr>
        <w:t xml:space="preserve">Safety Cameras </w:t>
      </w:r>
      <w:r w:rsidR="0075611F">
        <w:rPr>
          <w:rFonts w:eastAsiaTheme="majorEastAsia" w:cs="Arial"/>
          <w:color w:val="000000" w:themeColor="text1"/>
        </w:rPr>
        <w:t>- previously</w:t>
      </w:r>
      <w:r>
        <w:rPr>
          <w:rFonts w:eastAsiaTheme="majorEastAsia" w:cs="Arial"/>
          <w:color w:val="000000" w:themeColor="text1"/>
        </w:rPr>
        <w:t xml:space="preserve"> no capital budget in the TAMP</w:t>
      </w:r>
    </w:p>
    <w:p w14:paraId="6BFDEEEC" w14:textId="77777777" w:rsidR="00C659BF" w:rsidRPr="00A25DD4" w:rsidRDefault="00C659BF" w:rsidP="00A8347F">
      <w:pPr>
        <w:pStyle w:val="ListParagraph"/>
        <w:numPr>
          <w:ilvl w:val="0"/>
          <w:numId w:val="32"/>
        </w:numPr>
        <w:spacing w:after="0"/>
        <w:ind w:left="357" w:hanging="357"/>
        <w:jc w:val="both"/>
        <w:rPr>
          <w:rFonts w:cs="Arial"/>
        </w:rPr>
      </w:pPr>
      <w:r>
        <w:rPr>
          <w:rFonts w:cs="Arial"/>
          <w:color w:val="000000"/>
        </w:rPr>
        <w:t>Unpredicted asset failures or issues - experience has shown there is a need to for funding to deal with unpredicted asset failures such as road slips, slope movement, cattle grid replacement and 'fatting' of roads due to high summer temperatures etc.</w:t>
      </w:r>
    </w:p>
    <w:p w14:paraId="4F5D8400" w14:textId="39A81B87" w:rsidR="00C659BF" w:rsidRPr="00E45CE4" w:rsidRDefault="00C659BF" w:rsidP="00B943F3">
      <w:pPr>
        <w:pStyle w:val="ListParagraph"/>
        <w:numPr>
          <w:ilvl w:val="0"/>
          <w:numId w:val="32"/>
        </w:numPr>
        <w:autoSpaceDE w:val="0"/>
        <w:autoSpaceDN w:val="0"/>
        <w:adjustRightInd w:val="0"/>
        <w:spacing w:after="0"/>
        <w:ind w:left="357" w:hanging="357"/>
        <w:jc w:val="both"/>
        <w:rPr>
          <w:rFonts w:cs="Arial"/>
          <w:szCs w:val="24"/>
        </w:rPr>
      </w:pPr>
      <w:r w:rsidRPr="00B943F3">
        <w:rPr>
          <w:rFonts w:cs="Arial"/>
          <w:color w:val="000000"/>
        </w:rPr>
        <w:t xml:space="preserve">Planned additional maintenance of ad-hoc or other highway assets </w:t>
      </w:r>
      <w:r w:rsidR="00A81204">
        <w:rPr>
          <w:rFonts w:cs="Arial"/>
          <w:color w:val="000000"/>
        </w:rPr>
        <w:t xml:space="preserve">that </w:t>
      </w:r>
      <w:r w:rsidRPr="00B943F3">
        <w:rPr>
          <w:rFonts w:cs="Arial"/>
          <w:color w:val="000000"/>
        </w:rPr>
        <w:t xml:space="preserve">has not had budget </w:t>
      </w:r>
      <w:proofErr w:type="gramStart"/>
      <w:r w:rsidRPr="00B943F3">
        <w:rPr>
          <w:rFonts w:cs="Arial"/>
          <w:color w:val="000000"/>
        </w:rPr>
        <w:t>provision</w:t>
      </w:r>
      <w:proofErr w:type="gramEnd"/>
      <w:r w:rsidRPr="00B943F3">
        <w:rPr>
          <w:rFonts w:cs="Arial"/>
          <w:color w:val="000000"/>
        </w:rPr>
        <w:t xml:space="preserve"> but recent experience </w:t>
      </w:r>
      <w:r w:rsidRPr="00B943F3">
        <w:rPr>
          <w:rFonts w:cs="Arial"/>
          <w:color w:val="000000"/>
        </w:rPr>
        <w:lastRenderedPageBreak/>
        <w:t>shows a need for example replacement of weather station equipment</w:t>
      </w:r>
      <w:r w:rsidR="00B943F3">
        <w:rPr>
          <w:rFonts w:cs="Arial"/>
          <w:color w:val="000000"/>
        </w:rPr>
        <w:t xml:space="preserve"> and </w:t>
      </w:r>
      <w:r w:rsidR="0075611F">
        <w:rPr>
          <w:rFonts w:cs="Arial"/>
          <w:color w:val="000000"/>
        </w:rPr>
        <w:t>trash screens</w:t>
      </w:r>
      <w:r w:rsidR="00B943F3">
        <w:rPr>
          <w:rFonts w:cs="Arial"/>
          <w:color w:val="000000"/>
        </w:rPr>
        <w:t>.</w:t>
      </w:r>
    </w:p>
    <w:p w14:paraId="6910E959" w14:textId="26EBA114" w:rsidR="00E45CE4" w:rsidRDefault="00E45CE4" w:rsidP="00E45CE4">
      <w:pPr>
        <w:autoSpaceDE w:val="0"/>
        <w:autoSpaceDN w:val="0"/>
        <w:adjustRightInd w:val="0"/>
        <w:spacing w:after="0"/>
        <w:jc w:val="both"/>
        <w:rPr>
          <w:rFonts w:cs="Arial"/>
          <w:szCs w:val="24"/>
        </w:rPr>
      </w:pPr>
    </w:p>
    <w:p w14:paraId="726CAA39" w14:textId="355EECDA" w:rsidR="00E45CE4" w:rsidRPr="00E45CE4" w:rsidRDefault="00A04D02" w:rsidP="00E45CE4">
      <w:pPr>
        <w:autoSpaceDE w:val="0"/>
        <w:autoSpaceDN w:val="0"/>
        <w:adjustRightInd w:val="0"/>
        <w:spacing w:after="0"/>
        <w:jc w:val="both"/>
        <w:rPr>
          <w:rFonts w:cs="Arial"/>
          <w:szCs w:val="24"/>
        </w:rPr>
      </w:pPr>
      <w:r>
        <w:rPr>
          <w:rFonts w:cs="Arial"/>
          <w:szCs w:val="24"/>
        </w:rPr>
        <w:t xml:space="preserve">We have adopted a risk-based approach to our decision making in line with </w:t>
      </w:r>
      <w:r w:rsidR="00A81204">
        <w:rPr>
          <w:rFonts w:cs="Arial"/>
          <w:szCs w:val="24"/>
        </w:rPr>
        <w:t>the '</w:t>
      </w:r>
      <w:r>
        <w:rPr>
          <w:rFonts w:cs="Arial"/>
          <w:szCs w:val="24"/>
        </w:rPr>
        <w:t>Well Management Highways Code of Practice</w:t>
      </w:r>
      <w:r w:rsidR="00A81204">
        <w:rPr>
          <w:rFonts w:cs="Arial"/>
          <w:szCs w:val="24"/>
        </w:rPr>
        <w:t>'</w:t>
      </w:r>
      <w:r>
        <w:rPr>
          <w:rFonts w:cs="Arial"/>
          <w:szCs w:val="24"/>
        </w:rPr>
        <w:t>.  In future, decisions will be based on risk, supported by comprehensive condition data, performance management information and appropriate lifecycle planning information.  In 2021/22 we intend to carry ou</w:t>
      </w:r>
      <w:r w:rsidR="00DE6056">
        <w:rPr>
          <w:rFonts w:cs="Arial"/>
          <w:szCs w:val="24"/>
        </w:rPr>
        <w:t>t</w:t>
      </w:r>
      <w:r>
        <w:rPr>
          <w:rFonts w:cs="Arial"/>
          <w:szCs w:val="24"/>
        </w:rPr>
        <w:t xml:space="preserve"> a </w:t>
      </w:r>
      <w:r w:rsidR="00E45CE4">
        <w:rPr>
          <w:rFonts w:cs="Arial"/>
          <w:szCs w:val="24"/>
        </w:rPr>
        <w:t xml:space="preserve">risk review to inform the funding strategies going forwards. A summary of </w:t>
      </w:r>
      <w:r w:rsidR="00DE6056">
        <w:rPr>
          <w:rFonts w:cs="Arial"/>
          <w:szCs w:val="24"/>
        </w:rPr>
        <w:t xml:space="preserve">which </w:t>
      </w:r>
      <w:r w:rsidR="00E45CE4">
        <w:rPr>
          <w:rFonts w:cs="Arial"/>
          <w:szCs w:val="24"/>
        </w:rPr>
        <w:t>will be reported in the 2021/22 TAMP Refresh.</w:t>
      </w:r>
    </w:p>
    <w:p w14:paraId="1068691B" w14:textId="77777777" w:rsidR="00E45CE4" w:rsidRDefault="00E45CE4" w:rsidP="005C688D">
      <w:pPr>
        <w:autoSpaceDE w:val="0"/>
        <w:autoSpaceDN w:val="0"/>
        <w:adjustRightInd w:val="0"/>
        <w:spacing w:after="0"/>
        <w:jc w:val="both"/>
        <w:rPr>
          <w:rFonts w:cs="Arial"/>
          <w:szCs w:val="24"/>
        </w:rPr>
      </w:pPr>
    </w:p>
    <w:p w14:paraId="1B2AEB30" w14:textId="588D5AB1" w:rsidR="00914A69" w:rsidRPr="00914A69" w:rsidRDefault="008063B9" w:rsidP="009D3C5F">
      <w:pPr>
        <w:pStyle w:val="ListParagraph"/>
        <w:numPr>
          <w:ilvl w:val="0"/>
          <w:numId w:val="41"/>
        </w:numPr>
        <w:spacing w:after="0"/>
        <w:ind w:left="357" w:hanging="357"/>
        <w:jc w:val="both"/>
        <w:rPr>
          <w:b/>
          <w:color w:val="000000" w:themeColor="text1"/>
        </w:rPr>
      </w:pPr>
      <w:r w:rsidRPr="00914A69">
        <w:rPr>
          <w:b/>
          <w:color w:val="000000" w:themeColor="text1"/>
        </w:rPr>
        <w:t>Changes in Demand</w:t>
      </w:r>
    </w:p>
    <w:p w14:paraId="53B63503" w14:textId="4D887D4F" w:rsidR="00914A69" w:rsidRDefault="00914A69" w:rsidP="00914A69">
      <w:pPr>
        <w:spacing w:after="0"/>
        <w:jc w:val="both"/>
        <w:rPr>
          <w:color w:val="000000" w:themeColor="text1"/>
        </w:rPr>
      </w:pPr>
      <w:r>
        <w:rPr>
          <w:color w:val="000000" w:themeColor="text1"/>
        </w:rPr>
        <w:t>T</w:t>
      </w:r>
      <w:r w:rsidR="008063B9" w:rsidRPr="00914A69">
        <w:rPr>
          <w:color w:val="000000" w:themeColor="text1"/>
        </w:rPr>
        <w:t xml:space="preserve">here </w:t>
      </w:r>
      <w:r w:rsidR="00F3590B" w:rsidRPr="00914A69">
        <w:rPr>
          <w:color w:val="000000" w:themeColor="text1"/>
        </w:rPr>
        <w:t xml:space="preserve">continues to be an </w:t>
      </w:r>
      <w:r w:rsidR="00872A85" w:rsidRPr="00914A69">
        <w:rPr>
          <w:color w:val="000000" w:themeColor="text1"/>
        </w:rPr>
        <w:t>increase in</w:t>
      </w:r>
      <w:r w:rsidR="008063B9" w:rsidRPr="00914A69">
        <w:rPr>
          <w:color w:val="000000" w:themeColor="text1"/>
        </w:rPr>
        <w:t xml:space="preserve"> demand from customers and stakeholders for service improvements</w:t>
      </w:r>
      <w:r w:rsidRPr="00914A69">
        <w:rPr>
          <w:color w:val="000000" w:themeColor="text1"/>
        </w:rPr>
        <w:t xml:space="preserve">.  Due to reductions in </w:t>
      </w:r>
      <w:proofErr w:type="spellStart"/>
      <w:r w:rsidRPr="00914A69">
        <w:rPr>
          <w:color w:val="000000" w:themeColor="text1"/>
        </w:rPr>
        <w:t>DfT</w:t>
      </w:r>
      <w:proofErr w:type="spellEnd"/>
      <w:r w:rsidRPr="00914A69">
        <w:rPr>
          <w:color w:val="000000" w:themeColor="text1"/>
        </w:rPr>
        <w:t xml:space="preserve"> funding</w:t>
      </w:r>
      <w:r w:rsidR="00DE6056">
        <w:rPr>
          <w:color w:val="000000" w:themeColor="text1"/>
        </w:rPr>
        <w:t>,</w:t>
      </w:r>
      <w:r w:rsidRPr="00914A69">
        <w:rPr>
          <w:color w:val="000000" w:themeColor="text1"/>
        </w:rPr>
        <w:t xml:space="preserve"> a real</w:t>
      </w:r>
      <w:r w:rsidR="008063B9" w:rsidRPr="00914A69">
        <w:rPr>
          <w:color w:val="000000" w:themeColor="text1"/>
        </w:rPr>
        <w:t xml:space="preserve"> challenge </w:t>
      </w:r>
      <w:r w:rsidRPr="00914A69">
        <w:rPr>
          <w:color w:val="000000" w:themeColor="text1"/>
        </w:rPr>
        <w:t xml:space="preserve">for </w:t>
      </w:r>
      <w:r w:rsidR="008063B9" w:rsidRPr="00914A69">
        <w:rPr>
          <w:color w:val="000000" w:themeColor="text1"/>
        </w:rPr>
        <w:t xml:space="preserve">the authority is to </w:t>
      </w:r>
      <w:r w:rsidR="00872A85" w:rsidRPr="00914A69">
        <w:rPr>
          <w:color w:val="000000" w:themeColor="text1"/>
        </w:rPr>
        <w:t xml:space="preserve">be innovative </w:t>
      </w:r>
      <w:r>
        <w:rPr>
          <w:color w:val="000000" w:themeColor="text1"/>
        </w:rPr>
        <w:t>with regards how assets are maintain</w:t>
      </w:r>
      <w:r w:rsidR="00DE6056">
        <w:rPr>
          <w:color w:val="000000" w:themeColor="text1"/>
        </w:rPr>
        <w:t>ed</w:t>
      </w:r>
      <w:r>
        <w:rPr>
          <w:color w:val="000000" w:themeColor="text1"/>
        </w:rPr>
        <w:t xml:space="preserve"> </w:t>
      </w:r>
      <w:r w:rsidR="00872A85" w:rsidRPr="00914A69">
        <w:rPr>
          <w:color w:val="000000" w:themeColor="text1"/>
        </w:rPr>
        <w:t xml:space="preserve">and </w:t>
      </w:r>
      <w:r w:rsidR="00FE039B">
        <w:rPr>
          <w:color w:val="000000" w:themeColor="text1"/>
        </w:rPr>
        <w:t xml:space="preserve">to </w:t>
      </w:r>
      <w:r w:rsidR="008063B9" w:rsidRPr="00914A69">
        <w:rPr>
          <w:color w:val="000000" w:themeColor="text1"/>
        </w:rPr>
        <w:t>drive efficiencies through all parts of the service</w:t>
      </w:r>
      <w:r w:rsidR="00DE6056">
        <w:rPr>
          <w:color w:val="000000" w:themeColor="text1"/>
        </w:rPr>
        <w:t>,</w:t>
      </w:r>
      <w:r w:rsidR="008063B9" w:rsidRPr="00914A69">
        <w:rPr>
          <w:color w:val="000000" w:themeColor="text1"/>
        </w:rPr>
        <w:t xml:space="preserve"> so that we are able to </w:t>
      </w:r>
      <w:r w:rsidR="00872A85" w:rsidRPr="00914A69">
        <w:rPr>
          <w:color w:val="000000" w:themeColor="text1"/>
        </w:rPr>
        <w:t>do</w:t>
      </w:r>
      <w:r w:rsidR="008063B9" w:rsidRPr="00914A69">
        <w:rPr>
          <w:color w:val="000000" w:themeColor="text1"/>
        </w:rPr>
        <w:t xml:space="preserve"> more with less</w:t>
      </w:r>
      <w:r w:rsidRPr="00914A69">
        <w:rPr>
          <w:color w:val="000000" w:themeColor="text1"/>
        </w:rPr>
        <w:t>.</w:t>
      </w:r>
    </w:p>
    <w:p w14:paraId="328374E0" w14:textId="77777777" w:rsidR="00914A69" w:rsidRDefault="00914A69" w:rsidP="00914A69">
      <w:pPr>
        <w:spacing w:after="0"/>
        <w:jc w:val="both"/>
        <w:rPr>
          <w:color w:val="000000" w:themeColor="text1"/>
        </w:rPr>
      </w:pPr>
    </w:p>
    <w:p w14:paraId="684659B2" w14:textId="248B810F" w:rsidR="00A80C59" w:rsidRPr="00914A69" w:rsidRDefault="00914A69" w:rsidP="00914A69">
      <w:pPr>
        <w:spacing w:after="0"/>
        <w:jc w:val="both"/>
        <w:rPr>
          <w:color w:val="000000" w:themeColor="text1"/>
        </w:rPr>
      </w:pPr>
      <w:r w:rsidRPr="00914A69">
        <w:rPr>
          <w:color w:val="000000" w:themeColor="text1"/>
        </w:rPr>
        <w:t xml:space="preserve">This is becoming more important particularly as the </w:t>
      </w:r>
      <w:r w:rsidR="00A80C59" w:rsidRPr="00914A69">
        <w:rPr>
          <w:color w:val="000000" w:themeColor="text1"/>
        </w:rPr>
        <w:t>asset base continue</w:t>
      </w:r>
      <w:r w:rsidR="00DE6056">
        <w:rPr>
          <w:color w:val="000000" w:themeColor="text1"/>
        </w:rPr>
        <w:t>s</w:t>
      </w:r>
      <w:r w:rsidR="00A80C59" w:rsidRPr="00914A69">
        <w:rPr>
          <w:color w:val="000000" w:themeColor="text1"/>
        </w:rPr>
        <w:t xml:space="preserve"> to grow as new roads and bridges are constructed and new traffic signals and lighting columns </w:t>
      </w:r>
      <w:r w:rsidR="00FE039B">
        <w:rPr>
          <w:color w:val="000000" w:themeColor="text1"/>
        </w:rPr>
        <w:t xml:space="preserve">are </w:t>
      </w:r>
      <w:r w:rsidR="00A80C59" w:rsidRPr="00914A69">
        <w:rPr>
          <w:color w:val="000000" w:themeColor="text1"/>
        </w:rPr>
        <w:t>erected</w:t>
      </w:r>
      <w:r w:rsidR="00A81204">
        <w:rPr>
          <w:color w:val="000000" w:themeColor="text1"/>
        </w:rPr>
        <w:t>.</w:t>
      </w:r>
      <w:r w:rsidR="00DE6056">
        <w:rPr>
          <w:color w:val="000000" w:themeColor="text1"/>
        </w:rPr>
        <w:t xml:space="preserve"> </w:t>
      </w:r>
    </w:p>
    <w:p w14:paraId="6DEBE8FD" w14:textId="77777777" w:rsidR="00A80C59" w:rsidRDefault="00A80C59" w:rsidP="00A80C59">
      <w:pPr>
        <w:spacing w:after="0"/>
        <w:jc w:val="both"/>
        <w:rPr>
          <w:color w:val="000000" w:themeColor="text1"/>
        </w:rPr>
      </w:pPr>
    </w:p>
    <w:p w14:paraId="0E561E43" w14:textId="1AF5933B" w:rsidR="00A80C59" w:rsidRDefault="00A80C59" w:rsidP="00DE6056">
      <w:pPr>
        <w:spacing w:after="0"/>
        <w:jc w:val="both"/>
        <w:rPr>
          <w:color w:val="000000" w:themeColor="text1"/>
        </w:rPr>
      </w:pPr>
      <w:r w:rsidRPr="00A8563F">
        <w:rPr>
          <w:color w:val="000000" w:themeColor="text1"/>
        </w:rPr>
        <w:t xml:space="preserve">It is unlikely that future maintenance resources will be sufficient to manage the increased demands from an </w:t>
      </w:r>
      <w:r w:rsidR="00DE6056" w:rsidRPr="00A8563F">
        <w:rPr>
          <w:color w:val="000000" w:themeColor="text1"/>
        </w:rPr>
        <w:t>ever-expanding</w:t>
      </w:r>
      <w:r w:rsidRPr="00A8563F">
        <w:rPr>
          <w:color w:val="000000" w:themeColor="text1"/>
        </w:rPr>
        <w:t xml:space="preserve"> asset stock.  </w:t>
      </w:r>
      <w:r w:rsidR="00DE6056">
        <w:rPr>
          <w:color w:val="000000" w:themeColor="text1"/>
        </w:rPr>
        <w:t>Therefore,</w:t>
      </w:r>
      <w:r>
        <w:rPr>
          <w:color w:val="000000" w:themeColor="text1"/>
        </w:rPr>
        <w:t xml:space="preserve"> our </w:t>
      </w:r>
      <w:r w:rsidRPr="00A8563F">
        <w:rPr>
          <w:color w:val="000000" w:themeColor="text1"/>
        </w:rPr>
        <w:t xml:space="preserve">objective </w:t>
      </w:r>
      <w:r>
        <w:rPr>
          <w:color w:val="000000" w:themeColor="text1"/>
        </w:rPr>
        <w:t xml:space="preserve">should </w:t>
      </w:r>
      <w:r w:rsidRPr="00A8563F">
        <w:rPr>
          <w:color w:val="000000" w:themeColor="text1"/>
        </w:rPr>
        <w:t xml:space="preserve">be to attempt to maintain </w:t>
      </w:r>
      <w:r w:rsidR="00FE039B">
        <w:rPr>
          <w:color w:val="000000" w:themeColor="text1"/>
        </w:rPr>
        <w:t xml:space="preserve">our </w:t>
      </w:r>
      <w:r w:rsidRPr="00A8563F">
        <w:rPr>
          <w:color w:val="000000" w:themeColor="text1"/>
        </w:rPr>
        <w:t xml:space="preserve">overall asset levels as close as is practical to </w:t>
      </w:r>
      <w:r w:rsidR="00914A69">
        <w:rPr>
          <w:color w:val="000000" w:themeColor="text1"/>
        </w:rPr>
        <w:t>2019</w:t>
      </w:r>
      <w:r w:rsidRPr="00A8563F">
        <w:rPr>
          <w:color w:val="000000" w:themeColor="text1"/>
        </w:rPr>
        <w:t xml:space="preserve"> levels by </w:t>
      </w:r>
      <w:r w:rsidRPr="00A8563F">
        <w:rPr>
          <w:color w:val="000000" w:themeColor="text1"/>
        </w:rPr>
        <w:t xml:space="preserve">identifying opportunities to remove or rationalise existing assets as and when </w:t>
      </w:r>
      <w:r>
        <w:rPr>
          <w:color w:val="000000" w:themeColor="text1"/>
        </w:rPr>
        <w:t xml:space="preserve">new </w:t>
      </w:r>
      <w:r w:rsidRPr="00A8563F">
        <w:rPr>
          <w:color w:val="000000" w:themeColor="text1"/>
        </w:rPr>
        <w:t>assets are added to the network</w:t>
      </w:r>
      <w:r w:rsidR="00FE039B">
        <w:rPr>
          <w:color w:val="000000" w:themeColor="text1"/>
        </w:rPr>
        <w:t xml:space="preserve">.  </w:t>
      </w:r>
      <w:r w:rsidR="00A81204">
        <w:rPr>
          <w:color w:val="000000" w:themeColor="text1"/>
        </w:rPr>
        <w:t>W</w:t>
      </w:r>
      <w:r w:rsidR="00FE039B">
        <w:rPr>
          <w:color w:val="000000" w:themeColor="text1"/>
        </w:rPr>
        <w:t xml:space="preserve">hen we install new </w:t>
      </w:r>
      <w:proofErr w:type="gramStart"/>
      <w:r w:rsidR="00FE039B">
        <w:rPr>
          <w:color w:val="000000" w:themeColor="text1"/>
        </w:rPr>
        <w:t>assets</w:t>
      </w:r>
      <w:proofErr w:type="gramEnd"/>
      <w:r w:rsidR="00FE039B">
        <w:rPr>
          <w:color w:val="000000" w:themeColor="text1"/>
        </w:rPr>
        <w:t xml:space="preserve"> we should be looking at options </w:t>
      </w:r>
      <w:r w:rsidR="00DE6056">
        <w:rPr>
          <w:color w:val="000000" w:themeColor="text1"/>
        </w:rPr>
        <w:t>that require less maintenance and have reduced</w:t>
      </w:r>
      <w:r w:rsidR="00FE039B">
        <w:rPr>
          <w:color w:val="000000" w:themeColor="text1"/>
        </w:rPr>
        <w:t xml:space="preserve"> 'whole life costs' </w:t>
      </w:r>
      <w:r w:rsidR="00DE6056">
        <w:rPr>
          <w:color w:val="000000" w:themeColor="text1"/>
        </w:rPr>
        <w:t xml:space="preserve">through </w:t>
      </w:r>
      <w:r w:rsidRPr="00A8563F">
        <w:rPr>
          <w:color w:val="000000" w:themeColor="text1"/>
        </w:rPr>
        <w:t>incorporat</w:t>
      </w:r>
      <w:r w:rsidR="00DE6056">
        <w:rPr>
          <w:color w:val="000000" w:themeColor="text1"/>
        </w:rPr>
        <w:t xml:space="preserve">ing </w:t>
      </w:r>
      <w:r w:rsidRPr="00A8563F">
        <w:rPr>
          <w:color w:val="000000" w:themeColor="text1"/>
        </w:rPr>
        <w:t>new material and treatment technologies into our design specifications so that these new assets have the lowest possible lifecycle costs</w:t>
      </w:r>
    </w:p>
    <w:p w14:paraId="18D396A2" w14:textId="6C49D864" w:rsidR="00A80C59" w:rsidRDefault="00A80C59" w:rsidP="007452B1">
      <w:pPr>
        <w:spacing w:after="0"/>
        <w:jc w:val="both"/>
        <w:rPr>
          <w:color w:val="000000" w:themeColor="text1"/>
        </w:rPr>
      </w:pPr>
    </w:p>
    <w:p w14:paraId="67FF683D" w14:textId="12CED205" w:rsidR="00A8347F" w:rsidRPr="00CF6203" w:rsidRDefault="00A8347F" w:rsidP="009D3C5F">
      <w:pPr>
        <w:pStyle w:val="ListParagraph"/>
        <w:numPr>
          <w:ilvl w:val="0"/>
          <w:numId w:val="41"/>
        </w:numPr>
        <w:spacing w:after="0"/>
        <w:ind w:left="357" w:hanging="357"/>
        <w:jc w:val="both"/>
        <w:rPr>
          <w:b/>
          <w:color w:val="000000" w:themeColor="text1"/>
        </w:rPr>
      </w:pPr>
      <w:r w:rsidRPr="00CF6203">
        <w:rPr>
          <w:b/>
          <w:color w:val="000000" w:themeColor="text1"/>
        </w:rPr>
        <w:t>Customer Feedback</w:t>
      </w:r>
    </w:p>
    <w:p w14:paraId="07CD44D6" w14:textId="7564B4F3" w:rsidR="00DE6056" w:rsidRPr="00DE6056" w:rsidRDefault="00DE6056" w:rsidP="00DE6056">
      <w:pPr>
        <w:pStyle w:val="ListParagraph"/>
        <w:autoSpaceDE w:val="0"/>
        <w:autoSpaceDN w:val="0"/>
        <w:adjustRightInd w:val="0"/>
        <w:spacing w:after="0"/>
        <w:ind w:left="0"/>
        <w:jc w:val="both"/>
        <w:rPr>
          <w:rFonts w:cs="Arial"/>
          <w:color w:val="000000" w:themeColor="text1"/>
        </w:rPr>
      </w:pPr>
      <w:r w:rsidRPr="00DE6056">
        <w:rPr>
          <w:rFonts w:cs="Arial"/>
          <w:color w:val="000000" w:themeColor="text1"/>
          <w:lang w:val="en-US"/>
        </w:rPr>
        <w:t>Since 2015</w:t>
      </w:r>
      <w:r w:rsidRPr="00DE6056">
        <w:rPr>
          <w:rFonts w:cs="Arial"/>
          <w:color w:val="000000" w:themeColor="text1"/>
          <w:szCs w:val="24"/>
        </w:rPr>
        <w:t xml:space="preserve"> the county council has taken part in the annual </w:t>
      </w:r>
      <w:r w:rsidRPr="00DE6056">
        <w:rPr>
          <w:rFonts w:cs="Arial"/>
          <w:color w:val="000000" w:themeColor="text1"/>
          <w:lang w:val="en-US"/>
        </w:rPr>
        <w:t xml:space="preserve">National Highways &amp; Transport Network (NHT) survey which </w:t>
      </w:r>
      <w:r w:rsidRPr="00DE6056">
        <w:rPr>
          <w:rFonts w:cs="Arial"/>
        </w:rPr>
        <w:t>collects the public's views on different aspects of highway and transport assets / services</w:t>
      </w:r>
      <w:r w:rsidR="00A81204">
        <w:rPr>
          <w:rFonts w:cs="Arial"/>
        </w:rPr>
        <w:t>.</w:t>
      </w:r>
    </w:p>
    <w:p w14:paraId="68D68D85" w14:textId="77777777" w:rsidR="00DE6056" w:rsidRPr="00DE6056" w:rsidRDefault="00DE6056" w:rsidP="00DE6056">
      <w:pPr>
        <w:pStyle w:val="ListParagraph"/>
        <w:autoSpaceDE w:val="0"/>
        <w:autoSpaceDN w:val="0"/>
        <w:adjustRightInd w:val="0"/>
        <w:spacing w:after="0"/>
        <w:ind w:left="0"/>
        <w:jc w:val="both"/>
        <w:rPr>
          <w:rFonts w:cs="Arial"/>
          <w:color w:val="000000" w:themeColor="text1"/>
        </w:rPr>
      </w:pPr>
    </w:p>
    <w:p w14:paraId="5B3E5135" w14:textId="0A0027F9" w:rsidR="00DE6056" w:rsidRPr="00DE6056" w:rsidRDefault="00DE6056" w:rsidP="00DE6056">
      <w:pPr>
        <w:pStyle w:val="ListParagraph"/>
        <w:spacing w:after="0"/>
        <w:ind w:left="0"/>
        <w:jc w:val="both"/>
        <w:rPr>
          <w:color w:val="000000" w:themeColor="text1"/>
          <w:szCs w:val="24"/>
        </w:rPr>
      </w:pPr>
      <w:r w:rsidRPr="00DE6056">
        <w:rPr>
          <w:rFonts w:cs="Arial"/>
          <w:color w:val="212529"/>
          <w:szCs w:val="24"/>
        </w:rPr>
        <w:t>Responses to the survey are compiled into Key Benchmark Indicators (KBIs) and Benchmark Indicators (BIs) for each Authority, most of which measure satisfaction.  There are also a range of Key Quality Indicators (KQIs) and Quality Indicators (QIs) which cover the non-satisfaction related questions in the survey, measuring ease of access to services, levels of provision and how well informed the public feel</w:t>
      </w:r>
    </w:p>
    <w:p w14:paraId="46034DD2" w14:textId="77777777" w:rsidR="00DE6056" w:rsidRDefault="00DE6056" w:rsidP="00A8347F">
      <w:pPr>
        <w:spacing w:after="0"/>
        <w:jc w:val="both"/>
        <w:rPr>
          <w:color w:val="000000" w:themeColor="text1"/>
          <w:szCs w:val="24"/>
        </w:rPr>
      </w:pPr>
    </w:p>
    <w:p w14:paraId="5A288424" w14:textId="6D576C50" w:rsidR="00A8347F" w:rsidRDefault="00DE6056" w:rsidP="00A8347F">
      <w:pPr>
        <w:spacing w:after="0"/>
        <w:jc w:val="both"/>
        <w:rPr>
          <w:rFonts w:eastAsia="Times New Roman" w:cs="Arial"/>
          <w:color w:val="212529"/>
          <w:szCs w:val="24"/>
          <w:lang w:eastAsia="en-GB"/>
        </w:rPr>
      </w:pPr>
      <w:r>
        <w:rPr>
          <w:rFonts w:eastAsia="Times New Roman" w:cs="Arial"/>
          <w:color w:val="212529"/>
          <w:szCs w:val="24"/>
          <w:lang w:eastAsia="en-GB"/>
        </w:rPr>
        <w:t>Subscription to t</w:t>
      </w:r>
      <w:r w:rsidR="00A8347F" w:rsidRPr="00A8347F">
        <w:rPr>
          <w:rFonts w:eastAsia="Times New Roman" w:cs="Arial"/>
          <w:color w:val="212529"/>
          <w:szCs w:val="24"/>
          <w:lang w:eastAsia="en-GB"/>
        </w:rPr>
        <w:t xml:space="preserve">his allows us to find out about people's priorities and </w:t>
      </w:r>
      <w:r w:rsidR="00A8347F">
        <w:rPr>
          <w:rFonts w:eastAsia="Times New Roman" w:cs="Arial"/>
          <w:color w:val="212529"/>
          <w:szCs w:val="24"/>
          <w:lang w:eastAsia="en-GB"/>
        </w:rPr>
        <w:t xml:space="preserve">so we can </w:t>
      </w:r>
      <w:r w:rsidR="00A8347F" w:rsidRPr="00A8347F">
        <w:rPr>
          <w:rFonts w:eastAsia="Times New Roman" w:cs="Arial"/>
          <w:color w:val="212529"/>
          <w:szCs w:val="24"/>
          <w:lang w:eastAsia="en-GB"/>
        </w:rPr>
        <w:t>consider any changes we could make to where investment is prioritised, and the way we work, to provide a service which better meets people's needs and expectations.</w:t>
      </w:r>
    </w:p>
    <w:p w14:paraId="1FE42EDD" w14:textId="77777777" w:rsidR="00A8347F" w:rsidRPr="00A8347F" w:rsidRDefault="00A8347F" w:rsidP="00A8347F">
      <w:pPr>
        <w:spacing w:after="0"/>
        <w:jc w:val="both"/>
        <w:rPr>
          <w:rFonts w:eastAsia="Times New Roman" w:cs="Arial"/>
          <w:color w:val="212529"/>
          <w:szCs w:val="24"/>
          <w:lang w:eastAsia="en-GB"/>
        </w:rPr>
      </w:pPr>
    </w:p>
    <w:p w14:paraId="5F624892" w14:textId="0FE68DFC" w:rsidR="00A8347F" w:rsidRDefault="00A8347F" w:rsidP="00A8347F">
      <w:pPr>
        <w:shd w:val="clear" w:color="auto" w:fill="FFFFFF"/>
        <w:spacing w:after="0"/>
        <w:jc w:val="both"/>
        <w:rPr>
          <w:rFonts w:eastAsia="Times New Roman" w:cs="Arial"/>
          <w:color w:val="212529"/>
          <w:szCs w:val="24"/>
          <w:lang w:eastAsia="en-GB"/>
        </w:rPr>
      </w:pPr>
      <w:r w:rsidRPr="00A8347F">
        <w:rPr>
          <w:rFonts w:eastAsia="Times New Roman" w:cs="Arial"/>
          <w:color w:val="212529"/>
          <w:szCs w:val="24"/>
          <w:lang w:eastAsia="en-GB"/>
        </w:rPr>
        <w:lastRenderedPageBreak/>
        <w:t xml:space="preserve">We also compare our results with those of other councils of similar size and geography to Lancashire </w:t>
      </w:r>
      <w:proofErr w:type="gramStart"/>
      <w:r w:rsidRPr="00A8347F">
        <w:rPr>
          <w:rFonts w:eastAsia="Times New Roman" w:cs="Arial"/>
          <w:color w:val="212529"/>
          <w:szCs w:val="24"/>
          <w:lang w:eastAsia="en-GB"/>
        </w:rPr>
        <w:t>in order to</w:t>
      </w:r>
      <w:proofErr w:type="gramEnd"/>
      <w:r w:rsidRPr="00A8347F">
        <w:rPr>
          <w:rFonts w:eastAsia="Times New Roman" w:cs="Arial"/>
          <w:color w:val="212529"/>
          <w:szCs w:val="24"/>
          <w:lang w:eastAsia="en-GB"/>
        </w:rPr>
        <w:t xml:space="preserve"> identify any areas of work where we could learn from others in order to improve our service.</w:t>
      </w:r>
    </w:p>
    <w:p w14:paraId="1AE1AAC8" w14:textId="77777777" w:rsidR="00A8347F" w:rsidRPr="00A8347F" w:rsidRDefault="00A8347F" w:rsidP="00A8347F">
      <w:pPr>
        <w:shd w:val="clear" w:color="auto" w:fill="FFFFFF"/>
        <w:spacing w:after="0"/>
        <w:jc w:val="both"/>
        <w:rPr>
          <w:rFonts w:eastAsia="Times New Roman" w:cs="Arial"/>
          <w:color w:val="212529"/>
          <w:szCs w:val="24"/>
          <w:lang w:eastAsia="en-GB"/>
        </w:rPr>
      </w:pPr>
    </w:p>
    <w:p w14:paraId="3C37131A" w14:textId="374D9711" w:rsidR="00A8347F" w:rsidRDefault="00A8347F" w:rsidP="00A8347F">
      <w:pPr>
        <w:spacing w:after="0"/>
        <w:jc w:val="both"/>
        <w:rPr>
          <w:color w:val="000000" w:themeColor="text1"/>
        </w:rPr>
      </w:pPr>
      <w:r>
        <w:rPr>
          <w:color w:val="000000" w:themeColor="text1"/>
        </w:rPr>
        <w:t xml:space="preserve">We will </w:t>
      </w:r>
      <w:r w:rsidR="00A63012">
        <w:rPr>
          <w:color w:val="000000" w:themeColor="text1"/>
        </w:rPr>
        <w:t xml:space="preserve">include details of annual NHT feedback, or links to relevant information in future TAMP Refresh documents.  We will look at the survey results and </w:t>
      </w:r>
      <w:r>
        <w:rPr>
          <w:color w:val="000000" w:themeColor="text1"/>
        </w:rPr>
        <w:t xml:space="preserve">incorporate any changes we consider appropriate into service delivery/service standards. </w:t>
      </w:r>
    </w:p>
    <w:p w14:paraId="0ADA440A" w14:textId="77777777" w:rsidR="00A8347F" w:rsidRDefault="00A8347F" w:rsidP="007452B1">
      <w:pPr>
        <w:spacing w:after="0"/>
        <w:jc w:val="both"/>
        <w:rPr>
          <w:color w:val="000000" w:themeColor="text1"/>
        </w:rPr>
      </w:pPr>
    </w:p>
    <w:p w14:paraId="0D520D31" w14:textId="168C124C" w:rsidR="00914A69" w:rsidRPr="009D3C5F" w:rsidRDefault="00914A69" w:rsidP="009D3C5F">
      <w:pPr>
        <w:pStyle w:val="ListParagraph"/>
        <w:numPr>
          <w:ilvl w:val="0"/>
          <w:numId w:val="41"/>
        </w:numPr>
        <w:spacing w:after="0"/>
        <w:ind w:left="357" w:hanging="357"/>
        <w:jc w:val="both"/>
        <w:rPr>
          <w:b/>
          <w:color w:val="000000" w:themeColor="text1"/>
        </w:rPr>
      </w:pPr>
      <w:r w:rsidRPr="009D3C5F">
        <w:rPr>
          <w:b/>
          <w:color w:val="000000" w:themeColor="text1"/>
        </w:rPr>
        <w:t>Performance Management</w:t>
      </w:r>
    </w:p>
    <w:p w14:paraId="0D164D90" w14:textId="5E357CD5" w:rsidR="00DE6056" w:rsidRDefault="00914A69" w:rsidP="007452B1">
      <w:pPr>
        <w:spacing w:after="0"/>
        <w:jc w:val="both"/>
        <w:rPr>
          <w:bCs/>
          <w:color w:val="000000" w:themeColor="text1"/>
        </w:rPr>
      </w:pPr>
      <w:r w:rsidRPr="00914A69">
        <w:rPr>
          <w:bCs/>
          <w:color w:val="000000" w:themeColor="text1"/>
        </w:rPr>
        <w:t xml:space="preserve">Whilst the </w:t>
      </w:r>
      <w:r>
        <w:rPr>
          <w:bCs/>
          <w:color w:val="000000" w:themeColor="text1"/>
        </w:rPr>
        <w:t xml:space="preserve">TAMP contains information about service standards and there is an annual reporting framework in place, to monitor progress, we </w:t>
      </w:r>
      <w:r w:rsidR="00DE6056">
        <w:rPr>
          <w:bCs/>
          <w:color w:val="000000" w:themeColor="text1"/>
        </w:rPr>
        <w:t xml:space="preserve">intend to </w:t>
      </w:r>
      <w:r>
        <w:rPr>
          <w:bCs/>
          <w:color w:val="000000" w:themeColor="text1"/>
        </w:rPr>
        <w:t>incorporate</w:t>
      </w:r>
      <w:r w:rsidR="00933FF2">
        <w:rPr>
          <w:bCs/>
          <w:color w:val="000000" w:themeColor="text1"/>
        </w:rPr>
        <w:t xml:space="preserve"> </w:t>
      </w:r>
      <w:r w:rsidR="00DE6056">
        <w:rPr>
          <w:bCs/>
          <w:color w:val="000000" w:themeColor="text1"/>
        </w:rPr>
        <w:t xml:space="preserve">more </w:t>
      </w:r>
      <w:r w:rsidR="00933FF2">
        <w:rPr>
          <w:bCs/>
          <w:color w:val="000000" w:themeColor="text1"/>
        </w:rPr>
        <w:t>performance management reporting into this process as this enable</w:t>
      </w:r>
      <w:r w:rsidR="00B943F3">
        <w:rPr>
          <w:bCs/>
          <w:color w:val="000000" w:themeColor="text1"/>
        </w:rPr>
        <w:t>s</w:t>
      </w:r>
      <w:r w:rsidR="00933FF2">
        <w:rPr>
          <w:bCs/>
          <w:color w:val="000000" w:themeColor="text1"/>
        </w:rPr>
        <w:t xml:space="preserve"> us to monitor more closely how </w:t>
      </w:r>
      <w:r w:rsidR="00FE039B">
        <w:rPr>
          <w:bCs/>
          <w:color w:val="000000" w:themeColor="text1"/>
        </w:rPr>
        <w:t>our</w:t>
      </w:r>
      <w:r w:rsidR="00933FF2">
        <w:rPr>
          <w:bCs/>
          <w:color w:val="000000" w:themeColor="text1"/>
        </w:rPr>
        <w:t xml:space="preserve"> assets are performing and enable us to intervene quickly</w:t>
      </w:r>
      <w:r w:rsidR="00DE6056">
        <w:rPr>
          <w:bCs/>
          <w:color w:val="000000" w:themeColor="text1"/>
        </w:rPr>
        <w:t>.</w:t>
      </w:r>
    </w:p>
    <w:p w14:paraId="3E8CCB28" w14:textId="1671DF90" w:rsidR="00DE6056" w:rsidRDefault="00DE6056" w:rsidP="007452B1">
      <w:pPr>
        <w:spacing w:after="0"/>
        <w:jc w:val="both"/>
        <w:rPr>
          <w:bCs/>
          <w:color w:val="000000" w:themeColor="text1"/>
        </w:rPr>
      </w:pPr>
    </w:p>
    <w:p w14:paraId="4007AEDB" w14:textId="14C020C7" w:rsidR="00EF2E13" w:rsidRDefault="00EF2E13" w:rsidP="00DE6056">
      <w:pPr>
        <w:spacing w:after="0"/>
        <w:jc w:val="both"/>
        <w:rPr>
          <w:color w:val="000000" w:themeColor="text1"/>
        </w:rPr>
      </w:pPr>
      <w:r>
        <w:rPr>
          <w:color w:val="000000" w:themeColor="text1"/>
        </w:rPr>
        <w:t xml:space="preserve">We have for many years </w:t>
      </w:r>
      <w:r w:rsidR="00FE039B">
        <w:rPr>
          <w:color w:val="000000" w:themeColor="text1"/>
        </w:rPr>
        <w:t xml:space="preserve">been </w:t>
      </w:r>
      <w:r>
        <w:rPr>
          <w:color w:val="000000" w:themeColor="text1"/>
        </w:rPr>
        <w:t>m</w:t>
      </w:r>
      <w:r w:rsidR="00DE6056">
        <w:rPr>
          <w:color w:val="000000" w:themeColor="text1"/>
        </w:rPr>
        <w:t>onitoring performance of the 'pothole repair</w:t>
      </w:r>
      <w:r w:rsidR="00FE039B">
        <w:rPr>
          <w:color w:val="000000" w:themeColor="text1"/>
        </w:rPr>
        <w:t>s</w:t>
      </w:r>
      <w:r w:rsidR="00DE6056">
        <w:rPr>
          <w:color w:val="000000" w:themeColor="text1"/>
        </w:rPr>
        <w:t xml:space="preserve">' and </w:t>
      </w:r>
      <w:r>
        <w:rPr>
          <w:color w:val="000000" w:themeColor="text1"/>
        </w:rPr>
        <w:t>'street lighting defect</w:t>
      </w:r>
      <w:r w:rsidR="00FE039B">
        <w:rPr>
          <w:color w:val="000000" w:themeColor="text1"/>
        </w:rPr>
        <w:t>s</w:t>
      </w:r>
      <w:r>
        <w:rPr>
          <w:color w:val="000000" w:themeColor="text1"/>
        </w:rPr>
        <w:t>' K</w:t>
      </w:r>
      <w:r w:rsidR="00DE6056">
        <w:rPr>
          <w:color w:val="000000" w:themeColor="text1"/>
        </w:rPr>
        <w:t xml:space="preserve">PI's </w:t>
      </w:r>
      <w:r>
        <w:rPr>
          <w:color w:val="000000" w:themeColor="text1"/>
        </w:rPr>
        <w:t xml:space="preserve">which </w:t>
      </w:r>
      <w:r w:rsidR="00DE6056">
        <w:rPr>
          <w:color w:val="000000" w:themeColor="text1"/>
        </w:rPr>
        <w:t>has brought about a real understanding of our systems and procedures and has led to greater efficiencies and improvements in the way we do things.  This has not only benefited the county council but also service users through improved performance.</w:t>
      </w:r>
    </w:p>
    <w:p w14:paraId="04BB416E" w14:textId="77777777" w:rsidR="00EF2E13" w:rsidRDefault="00EF2E13" w:rsidP="00DE6056">
      <w:pPr>
        <w:spacing w:after="0"/>
        <w:jc w:val="both"/>
        <w:rPr>
          <w:color w:val="000000" w:themeColor="text1"/>
        </w:rPr>
      </w:pPr>
    </w:p>
    <w:p w14:paraId="5AAFD2B1" w14:textId="483F883E" w:rsidR="00EF2E13" w:rsidRDefault="00DE6056" w:rsidP="007452B1">
      <w:pPr>
        <w:spacing w:after="0"/>
        <w:jc w:val="both"/>
        <w:rPr>
          <w:color w:val="000000" w:themeColor="text1"/>
        </w:rPr>
      </w:pPr>
      <w:r>
        <w:rPr>
          <w:color w:val="000000" w:themeColor="text1"/>
        </w:rPr>
        <w:t>It's important that we build on this and carry this forward into TAMP phase 2 by expanding the number of indicators we monitor and report on</w:t>
      </w:r>
      <w:r w:rsidR="00EF2E13">
        <w:rPr>
          <w:color w:val="000000" w:themeColor="text1"/>
        </w:rPr>
        <w:t xml:space="preserve">.  This will </w:t>
      </w:r>
      <w:r w:rsidR="00933FF2">
        <w:rPr>
          <w:bCs/>
          <w:color w:val="000000" w:themeColor="text1"/>
        </w:rPr>
        <w:t xml:space="preserve">encourage us to be innovative </w:t>
      </w:r>
      <w:r w:rsidR="00933FF2">
        <w:rPr>
          <w:color w:val="000000" w:themeColor="text1"/>
        </w:rPr>
        <w:t xml:space="preserve">with regards </w:t>
      </w:r>
      <w:r w:rsidR="00933FF2">
        <w:rPr>
          <w:color w:val="000000" w:themeColor="text1"/>
        </w:rPr>
        <w:t xml:space="preserve">how assets are </w:t>
      </w:r>
      <w:r w:rsidR="00FE039B">
        <w:rPr>
          <w:color w:val="000000" w:themeColor="text1"/>
        </w:rPr>
        <w:t>maintained</w:t>
      </w:r>
      <w:r w:rsidR="00933FF2">
        <w:rPr>
          <w:color w:val="000000" w:themeColor="text1"/>
        </w:rPr>
        <w:t xml:space="preserve"> </w:t>
      </w:r>
      <w:r w:rsidR="00933FF2" w:rsidRPr="00914A69">
        <w:rPr>
          <w:color w:val="000000" w:themeColor="text1"/>
        </w:rPr>
        <w:t>and drive efficiencies through all parts of the service</w:t>
      </w:r>
      <w:r w:rsidR="00933FF2">
        <w:rPr>
          <w:color w:val="000000" w:themeColor="text1"/>
        </w:rPr>
        <w:t>.</w:t>
      </w:r>
    </w:p>
    <w:p w14:paraId="485A9534" w14:textId="77777777" w:rsidR="00FE039B" w:rsidRDefault="00FE039B" w:rsidP="007452B1">
      <w:pPr>
        <w:spacing w:after="0"/>
        <w:jc w:val="both"/>
        <w:rPr>
          <w:color w:val="000000" w:themeColor="text1"/>
        </w:rPr>
      </w:pPr>
    </w:p>
    <w:p w14:paraId="76415C22" w14:textId="3F34766C" w:rsidR="00933FF2" w:rsidRDefault="0047445F" w:rsidP="007452B1">
      <w:pPr>
        <w:spacing w:after="0"/>
        <w:jc w:val="both"/>
        <w:rPr>
          <w:color w:val="000000" w:themeColor="text1"/>
        </w:rPr>
      </w:pPr>
      <w:r>
        <w:rPr>
          <w:color w:val="000000" w:themeColor="text1"/>
        </w:rPr>
        <w:t>Key performance indicators are reported to the Cabinet Committee on Performance Improvement and a separate Performance Management Framework has been developed for regular monitoring.</w:t>
      </w:r>
    </w:p>
    <w:p w14:paraId="65FB9A04" w14:textId="77777777" w:rsidR="00DE6056" w:rsidRDefault="00DE6056" w:rsidP="007452B1">
      <w:pPr>
        <w:spacing w:after="0"/>
        <w:jc w:val="both"/>
        <w:rPr>
          <w:color w:val="000000" w:themeColor="text1"/>
        </w:rPr>
      </w:pPr>
    </w:p>
    <w:p w14:paraId="4C7A6743" w14:textId="773B23D7" w:rsidR="00423019" w:rsidRPr="009D3C5F" w:rsidRDefault="00933FF2" w:rsidP="009D3C5F">
      <w:pPr>
        <w:pStyle w:val="ListParagraph"/>
        <w:numPr>
          <w:ilvl w:val="0"/>
          <w:numId w:val="41"/>
        </w:numPr>
        <w:spacing w:after="0"/>
        <w:ind w:left="357" w:hanging="357"/>
        <w:jc w:val="both"/>
        <w:rPr>
          <w:rFonts w:cs="Arial"/>
          <w:b/>
        </w:rPr>
      </w:pPr>
      <w:r w:rsidRPr="009D3C5F">
        <w:rPr>
          <w:b/>
          <w:bCs/>
          <w:color w:val="000000" w:themeColor="text1"/>
        </w:rPr>
        <w:t>F</w:t>
      </w:r>
      <w:r w:rsidR="00423019" w:rsidRPr="009D3C5F">
        <w:rPr>
          <w:rFonts w:cs="Arial"/>
          <w:b/>
        </w:rPr>
        <w:t>unding Phase 2</w:t>
      </w:r>
    </w:p>
    <w:p w14:paraId="70058035" w14:textId="5D4047F8" w:rsidR="00933FF2" w:rsidRDefault="00423019" w:rsidP="00423019">
      <w:pPr>
        <w:spacing w:after="0"/>
        <w:jc w:val="both"/>
        <w:rPr>
          <w:rFonts w:eastAsiaTheme="majorEastAsia" w:cs="Arial"/>
          <w:color w:val="000000" w:themeColor="text1"/>
          <w:szCs w:val="24"/>
        </w:rPr>
      </w:pPr>
      <w:r>
        <w:rPr>
          <w:rFonts w:eastAsiaTheme="majorEastAsia" w:cs="Arial"/>
          <w:color w:val="000000" w:themeColor="text1"/>
          <w:szCs w:val="24"/>
        </w:rPr>
        <w:t xml:space="preserve">The original TAMP capital allocations were designed to meet the expected </w:t>
      </w:r>
      <w:proofErr w:type="spellStart"/>
      <w:r>
        <w:rPr>
          <w:rFonts w:eastAsiaTheme="majorEastAsia" w:cs="Arial"/>
          <w:color w:val="000000" w:themeColor="text1"/>
          <w:szCs w:val="24"/>
        </w:rPr>
        <w:t>DfT</w:t>
      </w:r>
      <w:proofErr w:type="spellEnd"/>
      <w:r>
        <w:rPr>
          <w:rFonts w:eastAsiaTheme="majorEastAsia" w:cs="Arial"/>
          <w:color w:val="000000" w:themeColor="text1"/>
          <w:szCs w:val="24"/>
        </w:rPr>
        <w:t xml:space="preserve"> grant settlement of £25m p</w:t>
      </w:r>
      <w:r w:rsidR="00561F4B">
        <w:rPr>
          <w:rFonts w:eastAsiaTheme="majorEastAsia" w:cs="Arial"/>
          <w:color w:val="000000" w:themeColor="text1"/>
          <w:szCs w:val="24"/>
        </w:rPr>
        <w:t xml:space="preserve">er </w:t>
      </w:r>
      <w:r>
        <w:rPr>
          <w:rFonts w:eastAsiaTheme="majorEastAsia" w:cs="Arial"/>
          <w:color w:val="000000" w:themeColor="text1"/>
          <w:szCs w:val="24"/>
        </w:rPr>
        <w:t>a</w:t>
      </w:r>
      <w:r w:rsidR="00561F4B">
        <w:rPr>
          <w:rFonts w:eastAsiaTheme="majorEastAsia" w:cs="Arial"/>
          <w:color w:val="000000" w:themeColor="text1"/>
          <w:szCs w:val="24"/>
        </w:rPr>
        <w:t>nnum</w:t>
      </w:r>
      <w:r>
        <w:rPr>
          <w:rFonts w:eastAsiaTheme="majorEastAsia" w:cs="Arial"/>
          <w:color w:val="000000" w:themeColor="text1"/>
          <w:szCs w:val="24"/>
        </w:rPr>
        <w:t xml:space="preserve">.  Actual Maintenance </w:t>
      </w:r>
      <w:r w:rsidRPr="00FE1236">
        <w:rPr>
          <w:rFonts w:eastAsiaTheme="majorEastAsia" w:cs="Arial"/>
          <w:color w:val="000000" w:themeColor="text1"/>
          <w:szCs w:val="24"/>
        </w:rPr>
        <w:t>Block</w:t>
      </w:r>
      <w:r>
        <w:rPr>
          <w:rFonts w:eastAsiaTheme="majorEastAsia" w:cs="Arial"/>
          <w:color w:val="000000" w:themeColor="text1"/>
          <w:szCs w:val="24"/>
        </w:rPr>
        <w:t xml:space="preserve"> and Incentive Fund allocations </w:t>
      </w:r>
      <w:r w:rsidR="00933FF2">
        <w:rPr>
          <w:rFonts w:eastAsiaTheme="majorEastAsia" w:cs="Arial"/>
          <w:color w:val="000000" w:themeColor="text1"/>
          <w:szCs w:val="24"/>
        </w:rPr>
        <w:t>fell short of this in Phase 1 and are expected to continue to do so in Phase 2.  We will endeavour to protect the funding requirements for those assets that are our priority in Phase 2 but depending on the extent of future shortfall this cannot be guaranteed.</w:t>
      </w:r>
    </w:p>
    <w:p w14:paraId="0F5D3DC2" w14:textId="77777777" w:rsidR="00933FF2" w:rsidRDefault="00933FF2" w:rsidP="00423019">
      <w:pPr>
        <w:spacing w:after="0"/>
        <w:jc w:val="both"/>
        <w:rPr>
          <w:rFonts w:eastAsiaTheme="majorEastAsia" w:cs="Arial"/>
          <w:color w:val="000000" w:themeColor="text1"/>
          <w:szCs w:val="24"/>
        </w:rPr>
      </w:pPr>
    </w:p>
    <w:p w14:paraId="136DDB54" w14:textId="79921934" w:rsidR="00423019" w:rsidRDefault="00423019" w:rsidP="00423019">
      <w:pPr>
        <w:spacing w:after="0"/>
        <w:jc w:val="both"/>
        <w:rPr>
          <w:rFonts w:eastAsiaTheme="majorEastAsia" w:cs="Arial"/>
          <w:color w:val="000000" w:themeColor="text1"/>
          <w:szCs w:val="24"/>
        </w:rPr>
      </w:pPr>
      <w:r>
        <w:rPr>
          <w:rFonts w:eastAsiaTheme="majorEastAsia" w:cs="Arial"/>
          <w:color w:val="000000" w:themeColor="text1"/>
          <w:szCs w:val="24"/>
        </w:rPr>
        <w:t xml:space="preserve">Using lifecycle planning, our current estimate of the capital required in Phase 2 to improve our assets in line with the TAMP approach and then maintain them at a good standard is between </w:t>
      </w:r>
      <w:r w:rsidRPr="0047445F">
        <w:rPr>
          <w:rFonts w:eastAsiaTheme="majorEastAsia" w:cs="Arial"/>
          <w:color w:val="000000" w:themeColor="text1"/>
          <w:szCs w:val="24"/>
        </w:rPr>
        <w:t>£</w:t>
      </w:r>
      <w:r w:rsidR="00963AF8">
        <w:rPr>
          <w:rFonts w:eastAsiaTheme="majorEastAsia" w:cs="Arial"/>
          <w:color w:val="000000" w:themeColor="text1"/>
          <w:szCs w:val="24"/>
        </w:rPr>
        <w:t>7</w:t>
      </w:r>
      <w:r w:rsidRPr="0047445F">
        <w:rPr>
          <w:rFonts w:eastAsiaTheme="majorEastAsia" w:cs="Arial"/>
          <w:color w:val="000000" w:themeColor="text1"/>
          <w:szCs w:val="24"/>
        </w:rPr>
        <w:t xml:space="preserve">5.5m and </w:t>
      </w:r>
      <w:r w:rsidR="00963AF8">
        <w:rPr>
          <w:rFonts w:eastAsiaTheme="majorEastAsia" w:cs="Arial"/>
          <w:color w:val="000000" w:themeColor="text1"/>
          <w:szCs w:val="24"/>
        </w:rPr>
        <w:t>£</w:t>
      </w:r>
      <w:r w:rsidRPr="0047445F">
        <w:rPr>
          <w:rFonts w:eastAsiaTheme="majorEastAsia" w:cs="Arial"/>
          <w:color w:val="000000" w:themeColor="text1"/>
          <w:szCs w:val="24"/>
        </w:rPr>
        <w:t>65.5m</w:t>
      </w:r>
      <w:r>
        <w:rPr>
          <w:rFonts w:eastAsiaTheme="majorEastAsia" w:cs="Arial"/>
          <w:color w:val="000000" w:themeColor="text1"/>
          <w:szCs w:val="24"/>
        </w:rPr>
        <w:t xml:space="preserve"> per annum, which is substantially more than is currently or ever likely to be available.</w:t>
      </w:r>
    </w:p>
    <w:p w14:paraId="7883EDD1" w14:textId="77777777" w:rsidR="00423019" w:rsidRDefault="00423019" w:rsidP="00423019">
      <w:pPr>
        <w:spacing w:after="0"/>
        <w:rPr>
          <w:rFonts w:eastAsiaTheme="majorEastAsia" w:cs="Arial"/>
          <w:color w:val="000000" w:themeColor="text1"/>
          <w:szCs w:val="24"/>
        </w:rPr>
      </w:pPr>
    </w:p>
    <w:p w14:paraId="784775FD" w14:textId="77777777" w:rsidR="00561F4B" w:rsidRDefault="00423019" w:rsidP="00561F4B">
      <w:pPr>
        <w:spacing w:after="0"/>
        <w:jc w:val="both"/>
        <w:rPr>
          <w:color w:val="000000" w:themeColor="text1"/>
        </w:rPr>
      </w:pPr>
      <w:r>
        <w:rPr>
          <w:rFonts w:eastAsiaTheme="majorEastAsia" w:cs="Arial"/>
          <w:color w:val="000000" w:themeColor="text1"/>
          <w:szCs w:val="24"/>
        </w:rPr>
        <w:t>In order that we can do more with less, two funding levels are</w:t>
      </w:r>
      <w:r w:rsidR="00561F4B">
        <w:rPr>
          <w:rFonts w:eastAsiaTheme="majorEastAsia" w:cs="Arial"/>
          <w:color w:val="000000" w:themeColor="text1"/>
          <w:szCs w:val="24"/>
        </w:rPr>
        <w:t xml:space="preserve"> proposed which take risk into account in line with the </w:t>
      </w:r>
      <w:r w:rsidR="00561F4B">
        <w:rPr>
          <w:color w:val="000000" w:themeColor="text1"/>
        </w:rPr>
        <w:t>'Well-Managed highway Infrastructure: A Code of Practice'.</w:t>
      </w:r>
    </w:p>
    <w:p w14:paraId="68866FE8" w14:textId="77777777" w:rsidR="00DB1F0D" w:rsidRDefault="00DB1F0D" w:rsidP="00561F4B">
      <w:pPr>
        <w:spacing w:after="0"/>
        <w:jc w:val="both"/>
        <w:rPr>
          <w:color w:val="000000" w:themeColor="text1"/>
        </w:rPr>
      </w:pPr>
    </w:p>
    <w:p w14:paraId="08800102" w14:textId="25CDA8F5" w:rsidR="00423019" w:rsidRDefault="00423019" w:rsidP="00561F4B">
      <w:pPr>
        <w:spacing w:after="0"/>
        <w:jc w:val="both"/>
        <w:rPr>
          <w:rFonts w:cs="Arial"/>
          <w:szCs w:val="24"/>
        </w:rPr>
      </w:pPr>
      <w:r>
        <w:rPr>
          <w:rFonts w:eastAsiaTheme="majorEastAsia" w:cs="Arial"/>
          <w:color w:val="000000" w:themeColor="text1"/>
          <w:szCs w:val="24"/>
        </w:rPr>
        <w:lastRenderedPageBreak/>
        <w:t>Two levels of funding for 'acceptable risk' have been defined that require additional borrowing of between £</w:t>
      </w:r>
      <w:r w:rsidR="005A6790">
        <w:rPr>
          <w:rFonts w:eastAsiaTheme="majorEastAsia" w:cs="Arial"/>
          <w:color w:val="000000" w:themeColor="text1"/>
          <w:szCs w:val="24"/>
        </w:rPr>
        <w:t>9.8m and £</w:t>
      </w:r>
      <w:r>
        <w:rPr>
          <w:rFonts w:eastAsiaTheme="majorEastAsia" w:cs="Arial"/>
          <w:color w:val="000000" w:themeColor="text1"/>
          <w:szCs w:val="24"/>
        </w:rPr>
        <w:t>17.5m. In addition to these</w:t>
      </w:r>
      <w:r w:rsidR="00EF2E13">
        <w:rPr>
          <w:rFonts w:eastAsiaTheme="majorEastAsia" w:cs="Arial"/>
          <w:color w:val="000000" w:themeColor="text1"/>
          <w:szCs w:val="24"/>
        </w:rPr>
        <w:t>,</w:t>
      </w:r>
      <w:r>
        <w:rPr>
          <w:rFonts w:eastAsiaTheme="majorEastAsia" w:cs="Arial"/>
          <w:color w:val="000000" w:themeColor="text1"/>
          <w:szCs w:val="24"/>
        </w:rPr>
        <w:t xml:space="preserve"> fund</w:t>
      </w:r>
      <w:r w:rsidR="00EF2E13">
        <w:rPr>
          <w:rFonts w:eastAsiaTheme="majorEastAsia" w:cs="Arial"/>
          <w:color w:val="000000" w:themeColor="text1"/>
          <w:szCs w:val="24"/>
        </w:rPr>
        <w:t>s</w:t>
      </w:r>
      <w:r>
        <w:rPr>
          <w:rFonts w:eastAsiaTheme="majorEastAsia" w:cs="Arial"/>
          <w:color w:val="000000" w:themeColor="text1"/>
          <w:szCs w:val="24"/>
        </w:rPr>
        <w:t xml:space="preserve"> will be required for Structural Defects (£6m extra)</w:t>
      </w:r>
      <w:r w:rsidR="0047445F">
        <w:rPr>
          <w:rFonts w:eastAsiaTheme="majorEastAsia" w:cs="Arial"/>
          <w:color w:val="000000" w:themeColor="text1"/>
          <w:szCs w:val="24"/>
        </w:rPr>
        <w:t>.</w:t>
      </w:r>
    </w:p>
    <w:p w14:paraId="31B36885" w14:textId="34E7BDA3" w:rsidR="00423019" w:rsidRDefault="00423019" w:rsidP="00561F4B">
      <w:pPr>
        <w:spacing w:after="0"/>
      </w:pPr>
    </w:p>
    <w:p w14:paraId="3962EDF5" w14:textId="2E2460C9" w:rsidR="00844E0F" w:rsidRDefault="00066C08" w:rsidP="00066C08">
      <w:pPr>
        <w:spacing w:after="0"/>
        <w:jc w:val="both"/>
      </w:pPr>
      <w:r>
        <w:t xml:space="preserve">We had hoped to be able to provide </w:t>
      </w:r>
      <w:r w:rsidR="00844E0F">
        <w:t xml:space="preserve">Indicative funding </w:t>
      </w:r>
      <w:r w:rsidR="00844E0F" w:rsidRPr="00066C08">
        <w:t xml:space="preserve">levels </w:t>
      </w:r>
      <w:r>
        <w:t>for the next 5-years.  Due to funding uncertainty we are only able to provide indictive funding levels for 2021/22 and 202</w:t>
      </w:r>
      <w:r w:rsidR="005A6790">
        <w:t>2</w:t>
      </w:r>
      <w:r>
        <w:t>/2</w:t>
      </w:r>
      <w:r w:rsidR="005A6790">
        <w:t>3</w:t>
      </w:r>
      <w:r>
        <w:t>currently.  This information is p</w:t>
      </w:r>
      <w:r w:rsidR="00EF2E13" w:rsidRPr="00066C08">
        <w:t xml:space="preserve">rovided in </w:t>
      </w:r>
      <w:r w:rsidR="00844E0F" w:rsidRPr="00066C08">
        <w:t>Appendix 2</w:t>
      </w:r>
      <w:r>
        <w:t xml:space="preserve"> and </w:t>
      </w:r>
      <w:r w:rsidR="005F20B9">
        <w:t xml:space="preserve">future years funding levels </w:t>
      </w:r>
      <w:r>
        <w:t xml:space="preserve">will be </w:t>
      </w:r>
      <w:r w:rsidR="00844E0F">
        <w:t>refreshed annually</w:t>
      </w:r>
      <w:r w:rsidR="005F20B9">
        <w:t>.</w:t>
      </w:r>
    </w:p>
    <w:p w14:paraId="67D85DCB" w14:textId="77777777" w:rsidR="00844E0F" w:rsidRDefault="00844E0F" w:rsidP="00561F4B">
      <w:pPr>
        <w:spacing w:after="0"/>
      </w:pPr>
    </w:p>
    <w:p w14:paraId="4ABD7209" w14:textId="550F98FA" w:rsidR="00423019" w:rsidRPr="009D3C5F" w:rsidRDefault="00561F4B" w:rsidP="009D3C5F">
      <w:pPr>
        <w:pStyle w:val="ListParagraph"/>
        <w:numPr>
          <w:ilvl w:val="0"/>
          <w:numId w:val="41"/>
        </w:numPr>
        <w:spacing w:after="0"/>
        <w:ind w:left="357" w:hanging="357"/>
        <w:rPr>
          <w:rFonts w:cs="Arial"/>
          <w:b/>
        </w:rPr>
      </w:pPr>
      <w:r w:rsidRPr="009D3C5F">
        <w:rPr>
          <w:rFonts w:cs="Arial"/>
          <w:b/>
        </w:rPr>
        <w:t>What will Phase 2 look like?</w:t>
      </w:r>
    </w:p>
    <w:p w14:paraId="60CC9431" w14:textId="0C36B4D1" w:rsidR="00F639A5" w:rsidRDefault="00561F4B" w:rsidP="00561F4B">
      <w:pPr>
        <w:spacing w:after="0"/>
        <w:jc w:val="both"/>
        <w:rPr>
          <w:color w:val="000000" w:themeColor="text1"/>
        </w:rPr>
      </w:pPr>
      <w:r>
        <w:rPr>
          <w:color w:val="000000" w:themeColor="text1"/>
        </w:rPr>
        <w:t xml:space="preserve">Whilst our </w:t>
      </w:r>
      <w:proofErr w:type="gramStart"/>
      <w:r>
        <w:rPr>
          <w:color w:val="000000" w:themeColor="text1"/>
        </w:rPr>
        <w:t>main focus</w:t>
      </w:r>
      <w:proofErr w:type="gramEnd"/>
      <w:r>
        <w:rPr>
          <w:color w:val="000000" w:themeColor="text1"/>
        </w:rPr>
        <w:t xml:space="preserve"> of Phase 2 will be </w:t>
      </w:r>
      <w:r w:rsidR="00EF2E13">
        <w:rPr>
          <w:color w:val="000000" w:themeColor="text1"/>
        </w:rPr>
        <w:t>r</w:t>
      </w:r>
      <w:r>
        <w:rPr>
          <w:color w:val="000000" w:themeColor="text1"/>
        </w:rPr>
        <w:t xml:space="preserve">ural and </w:t>
      </w:r>
      <w:r w:rsidR="00EF2E13">
        <w:rPr>
          <w:color w:val="000000" w:themeColor="text1"/>
        </w:rPr>
        <w:t>u</w:t>
      </w:r>
      <w:r>
        <w:rPr>
          <w:color w:val="000000" w:themeColor="text1"/>
        </w:rPr>
        <w:t>rban unclassified road network, greater emphasis will be given in the early years of this phase to the A.B &amp; C road networks.</w:t>
      </w:r>
    </w:p>
    <w:p w14:paraId="235DFC3C" w14:textId="77777777" w:rsidR="00F639A5" w:rsidRDefault="00F639A5" w:rsidP="00561F4B">
      <w:pPr>
        <w:spacing w:after="0"/>
        <w:jc w:val="both"/>
        <w:rPr>
          <w:color w:val="000000" w:themeColor="text1"/>
        </w:rPr>
      </w:pPr>
    </w:p>
    <w:p w14:paraId="67A25ADE" w14:textId="1162CBBA" w:rsidR="003138A9" w:rsidRDefault="0047445F" w:rsidP="00561F4B">
      <w:pPr>
        <w:spacing w:after="0"/>
        <w:jc w:val="both"/>
        <w:rPr>
          <w:color w:val="000000" w:themeColor="text1"/>
        </w:rPr>
      </w:pPr>
      <w:r>
        <w:rPr>
          <w:color w:val="000000" w:themeColor="text1"/>
        </w:rPr>
        <w:t>F</w:t>
      </w:r>
      <w:r w:rsidR="003138A9">
        <w:rPr>
          <w:color w:val="000000" w:themeColor="text1"/>
        </w:rPr>
        <w:t xml:space="preserve">unding will </w:t>
      </w:r>
      <w:r w:rsidR="00872A85">
        <w:rPr>
          <w:color w:val="000000" w:themeColor="text1"/>
        </w:rPr>
        <w:t xml:space="preserve">also </w:t>
      </w:r>
      <w:r w:rsidR="003138A9">
        <w:rPr>
          <w:color w:val="000000" w:themeColor="text1"/>
        </w:rPr>
        <w:t xml:space="preserve">be made available each year for the </w:t>
      </w:r>
      <w:r w:rsidR="00EF2E13">
        <w:rPr>
          <w:color w:val="000000" w:themeColor="text1"/>
        </w:rPr>
        <w:t>following: -</w:t>
      </w:r>
    </w:p>
    <w:p w14:paraId="0A2E069D" w14:textId="77777777" w:rsidR="00EF2E13" w:rsidRDefault="00EF2E13" w:rsidP="00EF2E13">
      <w:pPr>
        <w:pStyle w:val="ListParagraph"/>
        <w:spacing w:after="0"/>
        <w:ind w:left="357"/>
        <w:jc w:val="both"/>
        <w:rPr>
          <w:color w:val="000000" w:themeColor="text1"/>
        </w:rPr>
      </w:pPr>
    </w:p>
    <w:p w14:paraId="7BA8DE0F" w14:textId="162E52E0" w:rsidR="003138A9" w:rsidRDefault="003138A9" w:rsidP="00A8347F">
      <w:pPr>
        <w:pStyle w:val="ListParagraph"/>
        <w:numPr>
          <w:ilvl w:val="0"/>
          <w:numId w:val="33"/>
        </w:numPr>
        <w:spacing w:after="0"/>
        <w:ind w:left="357" w:hanging="357"/>
        <w:jc w:val="both"/>
        <w:rPr>
          <w:color w:val="000000" w:themeColor="text1"/>
        </w:rPr>
      </w:pPr>
      <w:r w:rsidRPr="003138A9">
        <w:rPr>
          <w:color w:val="000000" w:themeColor="text1"/>
        </w:rPr>
        <w:t>Traffic signal assets</w:t>
      </w:r>
    </w:p>
    <w:p w14:paraId="185BCD9A" w14:textId="77777777" w:rsidR="003138A9" w:rsidRDefault="003138A9" w:rsidP="00A8347F">
      <w:pPr>
        <w:pStyle w:val="ListParagraph"/>
        <w:numPr>
          <w:ilvl w:val="0"/>
          <w:numId w:val="33"/>
        </w:numPr>
        <w:spacing w:after="0"/>
        <w:ind w:left="357" w:hanging="357"/>
        <w:jc w:val="both"/>
        <w:rPr>
          <w:color w:val="000000" w:themeColor="text1"/>
        </w:rPr>
      </w:pPr>
      <w:r>
        <w:rPr>
          <w:color w:val="000000" w:themeColor="text1"/>
        </w:rPr>
        <w:t>Moss roads</w:t>
      </w:r>
    </w:p>
    <w:p w14:paraId="14EB5302" w14:textId="77777777" w:rsidR="003138A9" w:rsidRPr="003138A9" w:rsidRDefault="003138A9" w:rsidP="00A8347F">
      <w:pPr>
        <w:pStyle w:val="ListParagraph"/>
        <w:numPr>
          <w:ilvl w:val="0"/>
          <w:numId w:val="33"/>
        </w:numPr>
        <w:spacing w:after="0"/>
        <w:ind w:left="357" w:hanging="357"/>
        <w:jc w:val="both"/>
        <w:rPr>
          <w:color w:val="000000" w:themeColor="text1"/>
        </w:rPr>
      </w:pPr>
      <w:r>
        <w:rPr>
          <w:color w:val="000000" w:themeColor="text1"/>
        </w:rPr>
        <w:t>Drainage</w:t>
      </w:r>
    </w:p>
    <w:p w14:paraId="22DC20D6" w14:textId="77777777" w:rsidR="003138A9" w:rsidRPr="003138A9" w:rsidRDefault="003138A9" w:rsidP="00A8347F">
      <w:pPr>
        <w:pStyle w:val="ListParagraph"/>
        <w:numPr>
          <w:ilvl w:val="0"/>
          <w:numId w:val="33"/>
        </w:numPr>
        <w:spacing w:after="0"/>
        <w:ind w:left="357" w:hanging="357"/>
        <w:jc w:val="both"/>
        <w:rPr>
          <w:color w:val="000000" w:themeColor="text1"/>
        </w:rPr>
      </w:pPr>
      <w:r w:rsidRPr="003138A9">
        <w:rPr>
          <w:rFonts w:eastAsiaTheme="majorEastAsia" w:cs="Arial"/>
          <w:color w:val="000000" w:themeColor="text1"/>
        </w:rPr>
        <w:t xml:space="preserve">Vehicle </w:t>
      </w:r>
      <w:r>
        <w:rPr>
          <w:rFonts w:eastAsiaTheme="majorEastAsia" w:cs="Arial"/>
          <w:color w:val="000000" w:themeColor="text1"/>
        </w:rPr>
        <w:t>r</w:t>
      </w:r>
      <w:r w:rsidRPr="003138A9">
        <w:rPr>
          <w:rFonts w:eastAsiaTheme="majorEastAsia" w:cs="Arial"/>
          <w:color w:val="000000" w:themeColor="text1"/>
        </w:rPr>
        <w:t xml:space="preserve">estraint </w:t>
      </w:r>
      <w:r>
        <w:rPr>
          <w:rFonts w:eastAsiaTheme="majorEastAsia" w:cs="Arial"/>
          <w:color w:val="000000" w:themeColor="text1"/>
        </w:rPr>
        <w:t>s</w:t>
      </w:r>
      <w:r w:rsidRPr="003138A9">
        <w:rPr>
          <w:rFonts w:eastAsiaTheme="majorEastAsia" w:cs="Arial"/>
          <w:color w:val="000000" w:themeColor="text1"/>
        </w:rPr>
        <w:t>ystems</w:t>
      </w:r>
    </w:p>
    <w:p w14:paraId="71E4728D" w14:textId="4959A811" w:rsidR="003138A9" w:rsidRPr="003138A9" w:rsidRDefault="003138A9" w:rsidP="00A8347F">
      <w:pPr>
        <w:pStyle w:val="ListParagraph"/>
        <w:numPr>
          <w:ilvl w:val="0"/>
          <w:numId w:val="33"/>
        </w:numPr>
        <w:spacing w:after="0"/>
        <w:ind w:left="357" w:hanging="357"/>
        <w:jc w:val="both"/>
        <w:rPr>
          <w:color w:val="000000" w:themeColor="text1"/>
        </w:rPr>
      </w:pPr>
      <w:r w:rsidRPr="003138A9">
        <w:rPr>
          <w:rFonts w:eastAsiaTheme="majorEastAsia" w:cs="Arial"/>
          <w:color w:val="000000" w:themeColor="text1"/>
        </w:rPr>
        <w:t xml:space="preserve">Safety </w:t>
      </w:r>
      <w:r w:rsidR="00EF2E13">
        <w:rPr>
          <w:rFonts w:eastAsiaTheme="majorEastAsia" w:cs="Arial"/>
          <w:color w:val="000000" w:themeColor="text1"/>
        </w:rPr>
        <w:t>c</w:t>
      </w:r>
      <w:r w:rsidRPr="003138A9">
        <w:rPr>
          <w:rFonts w:eastAsiaTheme="majorEastAsia" w:cs="Arial"/>
          <w:color w:val="000000" w:themeColor="text1"/>
        </w:rPr>
        <w:t>ameras</w:t>
      </w:r>
    </w:p>
    <w:p w14:paraId="640B8FFE" w14:textId="77777777" w:rsidR="003138A9" w:rsidRPr="003138A9" w:rsidRDefault="003138A9" w:rsidP="00A8347F">
      <w:pPr>
        <w:pStyle w:val="ListParagraph"/>
        <w:numPr>
          <w:ilvl w:val="0"/>
          <w:numId w:val="33"/>
        </w:numPr>
        <w:spacing w:after="0"/>
        <w:ind w:left="357" w:hanging="357"/>
        <w:jc w:val="both"/>
        <w:rPr>
          <w:rFonts w:cs="Arial"/>
          <w:color w:val="000000"/>
        </w:rPr>
      </w:pPr>
      <w:r w:rsidRPr="003138A9">
        <w:rPr>
          <w:rFonts w:cs="Arial"/>
          <w:color w:val="000000"/>
        </w:rPr>
        <w:t>Unpredicted asset failures or issues</w:t>
      </w:r>
    </w:p>
    <w:p w14:paraId="2A9FFE62" w14:textId="77777777" w:rsidR="00F639A5" w:rsidRPr="003138A9" w:rsidRDefault="003138A9" w:rsidP="00A8347F">
      <w:pPr>
        <w:pStyle w:val="ListParagraph"/>
        <w:numPr>
          <w:ilvl w:val="0"/>
          <w:numId w:val="33"/>
        </w:numPr>
        <w:spacing w:after="0"/>
        <w:ind w:left="357" w:hanging="357"/>
        <w:jc w:val="both"/>
        <w:rPr>
          <w:rFonts w:cs="Arial"/>
          <w:color w:val="000000"/>
        </w:rPr>
      </w:pPr>
      <w:r w:rsidRPr="003138A9">
        <w:rPr>
          <w:rFonts w:cs="Arial"/>
          <w:color w:val="000000"/>
        </w:rPr>
        <w:t>Planned additional ad-hoc maintenance issues</w:t>
      </w:r>
    </w:p>
    <w:p w14:paraId="56EEB9C9" w14:textId="77777777" w:rsidR="003138A9" w:rsidRDefault="003138A9" w:rsidP="007452B1">
      <w:pPr>
        <w:spacing w:after="0"/>
        <w:jc w:val="both"/>
        <w:rPr>
          <w:color w:val="000000" w:themeColor="text1"/>
        </w:rPr>
      </w:pPr>
    </w:p>
    <w:p w14:paraId="1F5A391A" w14:textId="15FB4F98" w:rsidR="00037A7A" w:rsidRPr="00E56063" w:rsidRDefault="00037A7A" w:rsidP="007452B1">
      <w:pPr>
        <w:spacing w:after="0"/>
        <w:jc w:val="both"/>
        <w:rPr>
          <w:color w:val="000000" w:themeColor="text1"/>
          <w:szCs w:val="24"/>
        </w:rPr>
      </w:pPr>
      <w:r>
        <w:rPr>
          <w:color w:val="000000" w:themeColor="text1"/>
        </w:rPr>
        <w:t xml:space="preserve">Details of </w:t>
      </w:r>
      <w:r w:rsidR="00DB1F0D">
        <w:rPr>
          <w:color w:val="000000" w:themeColor="text1"/>
        </w:rPr>
        <w:t>our</w:t>
      </w:r>
      <w:r>
        <w:rPr>
          <w:color w:val="000000" w:themeColor="text1"/>
        </w:rPr>
        <w:t xml:space="preserve"> proposed allocations are set out in Appendix 2</w:t>
      </w:r>
      <w:r w:rsidR="00A7577D">
        <w:rPr>
          <w:color w:val="000000" w:themeColor="text1"/>
        </w:rPr>
        <w:t xml:space="preserve">. There is currently no indication of funding levels from the </w:t>
      </w:r>
      <w:r w:rsidR="00A7577D">
        <w:rPr>
          <w:color w:val="000000" w:themeColor="text1"/>
        </w:rPr>
        <w:t xml:space="preserve">Department for Transport beyond 2021/22. If the overall funding received plus additional fund made available from Cabinet is less than the minimum </w:t>
      </w:r>
      <w:r w:rsidR="00E56063">
        <w:rPr>
          <w:color w:val="000000" w:themeColor="text1"/>
        </w:rPr>
        <w:t>'</w:t>
      </w:r>
      <w:r w:rsidR="00A7577D" w:rsidRPr="00A7577D">
        <w:rPr>
          <w:rFonts w:eastAsia="Times New Roman" w:cs="Arial"/>
          <w:color w:val="000000"/>
          <w:szCs w:val="24"/>
          <w:lang w:eastAsia="en-GB"/>
        </w:rPr>
        <w:t>Balanced Budget TAMP</w:t>
      </w:r>
      <w:r w:rsidR="00E56063">
        <w:rPr>
          <w:rFonts w:eastAsia="Times New Roman" w:cs="Arial"/>
          <w:color w:val="000000"/>
          <w:szCs w:val="24"/>
          <w:lang w:eastAsia="en-GB"/>
        </w:rPr>
        <w:t>'</w:t>
      </w:r>
      <w:r w:rsidR="00A7577D">
        <w:rPr>
          <w:rFonts w:eastAsia="Times New Roman" w:cs="Arial"/>
          <w:color w:val="000000"/>
          <w:szCs w:val="24"/>
          <w:lang w:eastAsia="en-GB"/>
        </w:rPr>
        <w:t xml:space="preserve"> (Appendix 2) a further paper will be provided to Cabinet setting out the proposed </w:t>
      </w:r>
      <w:r w:rsidR="00E56063">
        <w:rPr>
          <w:rFonts w:eastAsia="Times New Roman" w:cs="Arial"/>
          <w:color w:val="000000"/>
          <w:szCs w:val="24"/>
          <w:lang w:eastAsia="en-GB"/>
        </w:rPr>
        <w:t xml:space="preserve">revised priorities and </w:t>
      </w:r>
      <w:r w:rsidR="00A7577D">
        <w:rPr>
          <w:rFonts w:eastAsia="Times New Roman" w:cs="Arial"/>
          <w:color w:val="000000"/>
          <w:szCs w:val="24"/>
          <w:lang w:eastAsia="en-GB"/>
        </w:rPr>
        <w:t>apportionments</w:t>
      </w:r>
      <w:r w:rsidR="00E56063">
        <w:rPr>
          <w:rFonts w:eastAsia="Times New Roman" w:cs="Arial"/>
          <w:color w:val="000000"/>
          <w:szCs w:val="24"/>
          <w:lang w:eastAsia="en-GB"/>
        </w:rPr>
        <w:t xml:space="preserve"> for that year</w:t>
      </w:r>
      <w:r w:rsidR="00A7577D">
        <w:rPr>
          <w:rFonts w:eastAsia="Times New Roman" w:cs="Arial"/>
          <w:color w:val="000000"/>
          <w:szCs w:val="24"/>
          <w:lang w:eastAsia="en-GB"/>
        </w:rPr>
        <w:t>.</w:t>
      </w:r>
      <w:r w:rsidR="00E56063">
        <w:rPr>
          <w:rFonts w:eastAsia="Times New Roman" w:cs="Arial"/>
          <w:color w:val="000000"/>
          <w:szCs w:val="24"/>
          <w:lang w:eastAsia="en-GB"/>
        </w:rPr>
        <w:t xml:space="preserve"> Overall funding levels between '</w:t>
      </w:r>
      <w:r w:rsidR="00E56063" w:rsidRPr="00A7577D">
        <w:rPr>
          <w:rFonts w:eastAsia="Times New Roman" w:cs="Arial"/>
          <w:color w:val="000000"/>
          <w:szCs w:val="24"/>
          <w:lang w:eastAsia="en-GB"/>
        </w:rPr>
        <w:t>Balanced Budget TAMP</w:t>
      </w:r>
      <w:r w:rsidR="00E56063">
        <w:rPr>
          <w:rFonts w:eastAsia="Times New Roman" w:cs="Arial"/>
          <w:color w:val="000000"/>
          <w:szCs w:val="24"/>
          <w:lang w:eastAsia="en-GB"/>
        </w:rPr>
        <w:t xml:space="preserve">' and </w:t>
      </w:r>
      <w:r w:rsidR="00E56063" w:rsidRPr="00E56063">
        <w:rPr>
          <w:rFonts w:eastAsia="Times New Roman" w:cs="Arial"/>
          <w:color w:val="000000"/>
          <w:szCs w:val="24"/>
          <w:lang w:eastAsia="en-GB"/>
        </w:rPr>
        <w:t xml:space="preserve">the </w:t>
      </w:r>
      <w:r w:rsidR="00E56063">
        <w:rPr>
          <w:rFonts w:eastAsia="Times New Roman" w:cs="Arial"/>
          <w:color w:val="000000"/>
          <w:szCs w:val="24"/>
          <w:lang w:eastAsia="en-GB"/>
        </w:rPr>
        <w:t>'</w:t>
      </w:r>
      <w:r w:rsidR="00E56063" w:rsidRPr="00E56063">
        <w:rPr>
          <w:rFonts w:eastAsia="Times New Roman" w:cs="Arial"/>
          <w:color w:val="000000"/>
          <w:szCs w:val="24"/>
          <w:lang w:eastAsia="en-GB"/>
        </w:rPr>
        <w:t>Capital Strategy: Acceptable Risk Managed</w:t>
      </w:r>
      <w:r w:rsidR="00E56063">
        <w:rPr>
          <w:rFonts w:eastAsia="Times New Roman" w:cs="Arial"/>
          <w:color w:val="000000"/>
          <w:szCs w:val="24"/>
          <w:lang w:eastAsia="en-GB"/>
        </w:rPr>
        <w:t>' will be apportioned in line with Appendix 3.</w:t>
      </w:r>
    </w:p>
    <w:p w14:paraId="634D4F31" w14:textId="77777777" w:rsidR="00037A7A" w:rsidRDefault="00037A7A" w:rsidP="007452B1">
      <w:pPr>
        <w:spacing w:after="0"/>
        <w:jc w:val="both"/>
        <w:rPr>
          <w:color w:val="000000" w:themeColor="text1"/>
        </w:rPr>
      </w:pPr>
    </w:p>
    <w:p w14:paraId="27E40636" w14:textId="57D7522B" w:rsidR="00F639A5" w:rsidRPr="009D3C5F" w:rsidRDefault="00561F4B" w:rsidP="009D3C5F">
      <w:pPr>
        <w:pStyle w:val="ListParagraph"/>
        <w:numPr>
          <w:ilvl w:val="0"/>
          <w:numId w:val="41"/>
        </w:numPr>
        <w:spacing w:after="0"/>
        <w:ind w:left="357" w:hanging="357"/>
        <w:jc w:val="both"/>
        <w:rPr>
          <w:b/>
          <w:color w:val="000000" w:themeColor="text1"/>
        </w:rPr>
      </w:pPr>
      <w:r w:rsidRPr="009D3C5F">
        <w:rPr>
          <w:b/>
          <w:color w:val="000000" w:themeColor="text1"/>
        </w:rPr>
        <w:t xml:space="preserve">What about </w:t>
      </w:r>
      <w:r w:rsidR="003138A9" w:rsidRPr="009D3C5F">
        <w:rPr>
          <w:b/>
          <w:color w:val="000000" w:themeColor="text1"/>
        </w:rPr>
        <w:t xml:space="preserve">our </w:t>
      </w:r>
      <w:r w:rsidRPr="009D3C5F">
        <w:rPr>
          <w:b/>
          <w:color w:val="000000" w:themeColor="text1"/>
        </w:rPr>
        <w:t>Phase 3 assets?</w:t>
      </w:r>
    </w:p>
    <w:p w14:paraId="71CEFF4F" w14:textId="44A1DA5B" w:rsidR="003138A9" w:rsidRDefault="00EF2E13" w:rsidP="007452B1">
      <w:pPr>
        <w:spacing w:after="0"/>
        <w:jc w:val="both"/>
        <w:rPr>
          <w:color w:val="000000" w:themeColor="text1"/>
        </w:rPr>
      </w:pPr>
      <w:r>
        <w:rPr>
          <w:color w:val="000000" w:themeColor="text1"/>
        </w:rPr>
        <w:t xml:space="preserve">Phase 3 assets (structures and street lighting) will continue to be </w:t>
      </w:r>
      <w:r w:rsidR="00872A85">
        <w:rPr>
          <w:color w:val="000000" w:themeColor="text1"/>
        </w:rPr>
        <w:t>funded</w:t>
      </w:r>
      <w:r w:rsidR="00037A7A">
        <w:rPr>
          <w:color w:val="000000" w:themeColor="text1"/>
        </w:rPr>
        <w:t xml:space="preserve"> </w:t>
      </w:r>
      <w:r>
        <w:rPr>
          <w:color w:val="000000" w:themeColor="text1"/>
        </w:rPr>
        <w:t xml:space="preserve">in Phase 2 </w:t>
      </w:r>
      <w:r w:rsidR="00037A7A">
        <w:rPr>
          <w:color w:val="000000" w:themeColor="text1"/>
        </w:rPr>
        <w:t xml:space="preserve">at the same level as set out in </w:t>
      </w:r>
      <w:r>
        <w:rPr>
          <w:color w:val="000000" w:themeColor="text1"/>
        </w:rPr>
        <w:t>Phase 1</w:t>
      </w:r>
      <w:r w:rsidR="00037A7A">
        <w:rPr>
          <w:color w:val="000000" w:themeColor="text1"/>
        </w:rPr>
        <w:t xml:space="preserve">.  </w:t>
      </w:r>
      <w:r>
        <w:rPr>
          <w:color w:val="000000" w:themeColor="text1"/>
        </w:rPr>
        <w:t xml:space="preserve">However in order to support this funding, we intended to carry </w:t>
      </w:r>
      <w:r w:rsidR="005A6790">
        <w:rPr>
          <w:color w:val="000000" w:themeColor="text1"/>
        </w:rPr>
        <w:t>o</w:t>
      </w:r>
      <w:r>
        <w:rPr>
          <w:color w:val="000000" w:themeColor="text1"/>
        </w:rPr>
        <w:t xml:space="preserve">ut a </w:t>
      </w:r>
      <w:r w:rsidR="003138A9">
        <w:rPr>
          <w:color w:val="000000" w:themeColor="text1"/>
        </w:rPr>
        <w:t xml:space="preserve">range of risk based inspections principle bridge inspection, scour assessments, column testing etc., in order that we can detect </w:t>
      </w:r>
      <w:r>
        <w:rPr>
          <w:color w:val="000000" w:themeColor="text1"/>
        </w:rPr>
        <w:t xml:space="preserve">and act upon problems </w:t>
      </w:r>
      <w:r w:rsidR="003138A9">
        <w:rPr>
          <w:color w:val="000000" w:themeColor="text1"/>
        </w:rPr>
        <w:t>at an early stage so as to avoid catastrophic failures across these asset groups.</w:t>
      </w:r>
    </w:p>
    <w:p w14:paraId="2D2574A8" w14:textId="77777777" w:rsidR="00F639A5" w:rsidRDefault="00F639A5" w:rsidP="007452B1">
      <w:pPr>
        <w:spacing w:after="0"/>
        <w:jc w:val="both"/>
        <w:rPr>
          <w:color w:val="000000" w:themeColor="text1"/>
        </w:rPr>
      </w:pPr>
    </w:p>
    <w:p w14:paraId="10F92DB9" w14:textId="4B91A768" w:rsidR="0029379F" w:rsidRPr="009D3C5F" w:rsidRDefault="0029379F" w:rsidP="009D3C5F">
      <w:pPr>
        <w:pStyle w:val="ListParagraph"/>
        <w:numPr>
          <w:ilvl w:val="0"/>
          <w:numId w:val="41"/>
        </w:numPr>
        <w:spacing w:after="0"/>
        <w:ind w:left="357" w:hanging="357"/>
        <w:jc w:val="both"/>
        <w:rPr>
          <w:b/>
          <w:color w:val="000000" w:themeColor="text1"/>
        </w:rPr>
      </w:pPr>
      <w:r w:rsidRPr="009D3C5F">
        <w:rPr>
          <w:b/>
          <w:color w:val="000000" w:themeColor="text1"/>
        </w:rPr>
        <w:t>Service Standards</w:t>
      </w:r>
    </w:p>
    <w:p w14:paraId="2118D0BB" w14:textId="7C00C6D6" w:rsidR="00844E0F" w:rsidRDefault="00844E0F" w:rsidP="007452B1">
      <w:pPr>
        <w:spacing w:after="0"/>
        <w:jc w:val="both"/>
        <w:rPr>
          <w:color w:val="000000" w:themeColor="text1"/>
        </w:rPr>
      </w:pPr>
      <w:r>
        <w:rPr>
          <w:color w:val="000000" w:themeColor="text1"/>
        </w:rPr>
        <w:t xml:space="preserve">The Service Standards for Phase 2 are set out at Appendix </w:t>
      </w:r>
      <w:r w:rsidR="00E56063">
        <w:rPr>
          <w:color w:val="000000" w:themeColor="text1"/>
        </w:rPr>
        <w:t>4</w:t>
      </w:r>
      <w:r>
        <w:rPr>
          <w:color w:val="000000" w:themeColor="text1"/>
        </w:rPr>
        <w:t xml:space="preserve"> and </w:t>
      </w:r>
      <w:r w:rsidR="00933FF2">
        <w:rPr>
          <w:color w:val="000000" w:themeColor="text1"/>
        </w:rPr>
        <w:t xml:space="preserve">includes the </w:t>
      </w:r>
      <w:r>
        <w:rPr>
          <w:color w:val="000000" w:themeColor="text1"/>
        </w:rPr>
        <w:t>condition at the start of phase 2 and our targets for the end of phase 2 in March 2025.</w:t>
      </w:r>
    </w:p>
    <w:p w14:paraId="2945DECF" w14:textId="53CB68A6" w:rsidR="00F639A5" w:rsidRPr="00E56063" w:rsidRDefault="00F639A5" w:rsidP="00E56063">
      <w:pPr>
        <w:spacing w:after="0"/>
        <w:jc w:val="both"/>
        <w:rPr>
          <w:color w:val="000000" w:themeColor="text1"/>
        </w:rPr>
      </w:pPr>
    </w:p>
    <w:p w14:paraId="788173A7" w14:textId="137840B1" w:rsidR="00F92857" w:rsidRPr="009D3C5F" w:rsidRDefault="0029379F" w:rsidP="009D3C5F">
      <w:pPr>
        <w:pStyle w:val="ListParagraph"/>
        <w:numPr>
          <w:ilvl w:val="0"/>
          <w:numId w:val="41"/>
        </w:numPr>
        <w:spacing w:after="0"/>
        <w:ind w:left="357" w:hanging="357"/>
        <w:jc w:val="both"/>
        <w:rPr>
          <w:rFonts w:cs="Arial"/>
          <w:b/>
          <w:color w:val="000000" w:themeColor="text1"/>
        </w:rPr>
      </w:pPr>
      <w:r w:rsidRPr="009D3C5F">
        <w:rPr>
          <w:rFonts w:cs="Arial"/>
          <w:b/>
          <w:color w:val="000000" w:themeColor="text1"/>
        </w:rPr>
        <w:t>Reporting progress</w:t>
      </w:r>
    </w:p>
    <w:p w14:paraId="346C895A" w14:textId="77777777" w:rsidR="00EF2E13" w:rsidRDefault="009F12CE" w:rsidP="009F12CE">
      <w:pPr>
        <w:spacing w:after="0"/>
        <w:jc w:val="both"/>
        <w:rPr>
          <w:rFonts w:cs="Arial"/>
          <w:color w:val="000000" w:themeColor="text1"/>
        </w:rPr>
      </w:pPr>
      <w:r>
        <w:rPr>
          <w:rFonts w:cs="Arial"/>
          <w:color w:val="000000" w:themeColor="text1"/>
        </w:rPr>
        <w:t xml:space="preserve">We propose to continue calculating an overall asset score and providing annual TAMP refresh documents showing all the same information as </w:t>
      </w:r>
      <w:r w:rsidR="001528C9">
        <w:rPr>
          <w:rFonts w:cs="Arial"/>
          <w:color w:val="000000" w:themeColor="text1"/>
        </w:rPr>
        <w:t>previous years.</w:t>
      </w:r>
    </w:p>
    <w:p w14:paraId="5BE79E8E" w14:textId="77777777" w:rsidR="00EF2E13" w:rsidRDefault="00EF2E13" w:rsidP="009F12CE">
      <w:pPr>
        <w:spacing w:after="0"/>
        <w:jc w:val="both"/>
        <w:rPr>
          <w:rFonts w:cs="Arial"/>
          <w:color w:val="000000" w:themeColor="text1"/>
        </w:rPr>
      </w:pPr>
    </w:p>
    <w:p w14:paraId="193EC050" w14:textId="32D7B0AD" w:rsidR="009F12CE" w:rsidRDefault="00EF2E13" w:rsidP="009F12CE">
      <w:pPr>
        <w:spacing w:after="0"/>
        <w:jc w:val="both"/>
        <w:rPr>
          <w:rFonts w:cs="Arial"/>
          <w:color w:val="000000" w:themeColor="text1"/>
        </w:rPr>
      </w:pPr>
      <w:r>
        <w:rPr>
          <w:rFonts w:cs="Arial"/>
          <w:color w:val="000000" w:themeColor="text1"/>
        </w:rPr>
        <w:lastRenderedPageBreak/>
        <w:t xml:space="preserve">Whilst we are no longer required to calculate Whole of Government </w:t>
      </w:r>
      <w:r w:rsidR="00BD548E">
        <w:rPr>
          <w:rFonts w:cs="Arial"/>
          <w:color w:val="000000" w:themeColor="text1"/>
        </w:rPr>
        <w:t>A</w:t>
      </w:r>
      <w:r>
        <w:rPr>
          <w:rFonts w:cs="Arial"/>
          <w:color w:val="000000" w:themeColor="text1"/>
        </w:rPr>
        <w:t xml:space="preserve">ccount </w:t>
      </w:r>
      <w:r w:rsidR="00BD548E">
        <w:rPr>
          <w:rFonts w:cs="Arial"/>
          <w:color w:val="000000" w:themeColor="text1"/>
        </w:rPr>
        <w:t xml:space="preserve">(WGA) </w:t>
      </w:r>
      <w:r>
        <w:rPr>
          <w:rFonts w:cs="Arial"/>
          <w:color w:val="000000" w:themeColor="text1"/>
        </w:rPr>
        <w:t xml:space="preserve">information we use the </w:t>
      </w:r>
      <w:r w:rsidR="00BD548E">
        <w:rPr>
          <w:rFonts w:cs="Arial"/>
          <w:color w:val="000000" w:themeColor="text1"/>
        </w:rPr>
        <w:t xml:space="preserve">last </w:t>
      </w:r>
      <w:r w:rsidR="00EE2736">
        <w:rPr>
          <w:rFonts w:cs="Arial"/>
          <w:color w:val="000000" w:themeColor="text1"/>
        </w:rPr>
        <w:t xml:space="preserve">official </w:t>
      </w:r>
      <w:r w:rsidR="00BD548E">
        <w:rPr>
          <w:rFonts w:cs="Arial"/>
          <w:color w:val="000000" w:themeColor="text1"/>
        </w:rPr>
        <w:t xml:space="preserve">WGA </w:t>
      </w:r>
      <w:r>
        <w:rPr>
          <w:rFonts w:cs="Arial"/>
          <w:color w:val="000000" w:themeColor="text1"/>
        </w:rPr>
        <w:t xml:space="preserve">values </w:t>
      </w:r>
      <w:r w:rsidR="00BD548E">
        <w:rPr>
          <w:rFonts w:cs="Arial"/>
          <w:color w:val="000000" w:themeColor="text1"/>
        </w:rPr>
        <w:t xml:space="preserve">of our assets </w:t>
      </w:r>
      <w:r w:rsidR="00EE2736">
        <w:rPr>
          <w:rFonts w:cs="Arial"/>
          <w:color w:val="000000" w:themeColor="text1"/>
        </w:rPr>
        <w:t>in</w:t>
      </w:r>
      <w:r>
        <w:rPr>
          <w:rFonts w:cs="Arial"/>
          <w:color w:val="000000" w:themeColor="text1"/>
        </w:rPr>
        <w:t xml:space="preserve"> </w:t>
      </w:r>
      <w:r w:rsidR="00EE2736">
        <w:rPr>
          <w:rFonts w:cs="Arial"/>
          <w:color w:val="000000" w:themeColor="text1"/>
        </w:rPr>
        <w:t xml:space="preserve">2018-19 during </w:t>
      </w:r>
      <w:r>
        <w:rPr>
          <w:rFonts w:cs="Arial"/>
          <w:color w:val="000000" w:themeColor="text1"/>
        </w:rPr>
        <w:t>Phase 2 in order t</w:t>
      </w:r>
      <w:r w:rsidR="00BD548E">
        <w:rPr>
          <w:rFonts w:cs="Arial"/>
          <w:color w:val="000000" w:themeColor="text1"/>
        </w:rPr>
        <w:t xml:space="preserve">hat we can maintain a consistent approach to calculating </w:t>
      </w:r>
      <w:r w:rsidR="00983A42">
        <w:rPr>
          <w:rFonts w:cs="Arial"/>
          <w:color w:val="000000" w:themeColor="text1"/>
        </w:rPr>
        <w:t xml:space="preserve">our overall progress.  </w:t>
      </w:r>
      <w:r w:rsidR="00DB1F0D">
        <w:rPr>
          <w:rFonts w:cs="Arial"/>
          <w:color w:val="000000" w:themeColor="text1"/>
        </w:rPr>
        <w:t xml:space="preserve">The methodology </w:t>
      </w:r>
      <w:r w:rsidR="00983A42">
        <w:rPr>
          <w:rFonts w:cs="Arial"/>
          <w:color w:val="000000" w:themeColor="text1"/>
        </w:rPr>
        <w:t xml:space="preserve">we use is set out </w:t>
      </w:r>
      <w:r w:rsidR="00DB1F0D">
        <w:rPr>
          <w:rFonts w:cs="Arial"/>
          <w:color w:val="000000" w:themeColor="text1"/>
        </w:rPr>
        <w:t>in Appendix 5</w:t>
      </w:r>
      <w:r w:rsidR="00983A42">
        <w:rPr>
          <w:rFonts w:cs="Arial"/>
          <w:color w:val="000000" w:themeColor="text1"/>
        </w:rPr>
        <w:t>.</w:t>
      </w:r>
    </w:p>
    <w:p w14:paraId="17646D3F" w14:textId="77777777" w:rsidR="002F5C0D" w:rsidRDefault="002F5C0D" w:rsidP="009F12CE">
      <w:pPr>
        <w:spacing w:after="0"/>
        <w:jc w:val="both"/>
        <w:rPr>
          <w:rFonts w:cs="Arial"/>
          <w:color w:val="000000" w:themeColor="text1"/>
        </w:rPr>
      </w:pPr>
    </w:p>
    <w:p w14:paraId="2B88A39E" w14:textId="50350CE3" w:rsidR="00DA7BDD" w:rsidRDefault="00983A42" w:rsidP="00983A42">
      <w:pPr>
        <w:autoSpaceDE w:val="0"/>
        <w:autoSpaceDN w:val="0"/>
        <w:adjustRightInd w:val="0"/>
        <w:spacing w:after="0"/>
        <w:jc w:val="both"/>
        <w:rPr>
          <w:szCs w:val="24"/>
        </w:rPr>
      </w:pPr>
      <w:r>
        <w:rPr>
          <w:rFonts w:eastAsia="Times New Roman" w:cs="Arial"/>
          <w:bCs/>
          <w:color w:val="000000" w:themeColor="text1"/>
          <w:szCs w:val="24"/>
          <w:lang w:val="en" w:eastAsia="en-GB"/>
        </w:rPr>
        <w:t xml:space="preserve">In line with Phase 1 reporting, we will continue in Phase 2 to report our end of year progress on an asset by asset basis also.  Such information and will contain </w:t>
      </w:r>
      <w:r w:rsidRPr="0072651B">
        <w:rPr>
          <w:color w:val="000000" w:themeColor="text1"/>
        </w:rPr>
        <w:t>a summary</w:t>
      </w:r>
      <w:r w:rsidR="002F5C0D" w:rsidRPr="0072651B">
        <w:rPr>
          <w:color w:val="000000" w:themeColor="text1"/>
        </w:rPr>
        <w:t xml:space="preserve"> of the condition of each of the asset groups covered by the TAMP together with </w:t>
      </w:r>
      <w:r w:rsidRPr="0072651B">
        <w:rPr>
          <w:color w:val="000000" w:themeColor="text1"/>
        </w:rPr>
        <w:t>key bullet points which seek to outline briefly the key facts relating to the category of the asset.</w:t>
      </w:r>
    </w:p>
    <w:p w14:paraId="33F99EB2" w14:textId="77777777" w:rsidR="00DA7BDD" w:rsidRDefault="00DA7BDD" w:rsidP="009A0A44">
      <w:pPr>
        <w:spacing w:after="0"/>
        <w:jc w:val="both"/>
        <w:rPr>
          <w:szCs w:val="24"/>
        </w:rPr>
      </w:pPr>
    </w:p>
    <w:p w14:paraId="0A49D248" w14:textId="77777777" w:rsidR="00B16C1C" w:rsidRDefault="00B16C1C" w:rsidP="009A0A44">
      <w:pPr>
        <w:spacing w:after="0"/>
        <w:jc w:val="both"/>
        <w:rPr>
          <w:szCs w:val="24"/>
        </w:rPr>
      </w:pPr>
    </w:p>
    <w:p w14:paraId="4D14CFCC" w14:textId="77777777" w:rsidR="00B16C1C" w:rsidRDefault="00B16C1C" w:rsidP="009A0A44">
      <w:pPr>
        <w:spacing w:after="0"/>
        <w:jc w:val="both"/>
        <w:rPr>
          <w:szCs w:val="24"/>
        </w:rPr>
      </w:pPr>
    </w:p>
    <w:p w14:paraId="3274B56E" w14:textId="77777777" w:rsidR="00B16C1C" w:rsidRDefault="00B16C1C" w:rsidP="009A0A44">
      <w:pPr>
        <w:spacing w:after="0"/>
        <w:jc w:val="both"/>
        <w:rPr>
          <w:szCs w:val="24"/>
        </w:rPr>
      </w:pPr>
    </w:p>
    <w:p w14:paraId="4260FB27" w14:textId="77777777" w:rsidR="00B16C1C" w:rsidRDefault="00B16C1C" w:rsidP="009A0A44">
      <w:pPr>
        <w:spacing w:after="0"/>
        <w:jc w:val="both"/>
        <w:rPr>
          <w:szCs w:val="24"/>
        </w:rPr>
      </w:pPr>
    </w:p>
    <w:p w14:paraId="1D8FD7DE" w14:textId="56BE68BB" w:rsidR="00B16C1C" w:rsidRDefault="00B16C1C" w:rsidP="009A0A44">
      <w:pPr>
        <w:spacing w:after="0"/>
        <w:jc w:val="both"/>
        <w:rPr>
          <w:szCs w:val="24"/>
        </w:rPr>
      </w:pPr>
    </w:p>
    <w:p w14:paraId="61C4ACA4" w14:textId="51200032" w:rsidR="0047445F" w:rsidRDefault="0047445F" w:rsidP="009A0A44">
      <w:pPr>
        <w:spacing w:after="0"/>
        <w:jc w:val="both"/>
        <w:rPr>
          <w:szCs w:val="24"/>
        </w:rPr>
      </w:pPr>
    </w:p>
    <w:p w14:paraId="53B4583A" w14:textId="48A98FA6" w:rsidR="0047445F" w:rsidRDefault="0047445F" w:rsidP="009A0A44">
      <w:pPr>
        <w:spacing w:after="0"/>
        <w:jc w:val="both"/>
        <w:rPr>
          <w:szCs w:val="24"/>
        </w:rPr>
      </w:pPr>
    </w:p>
    <w:p w14:paraId="2BF8A055" w14:textId="7C2BAC3A" w:rsidR="0047445F" w:rsidRDefault="0047445F" w:rsidP="009A0A44">
      <w:pPr>
        <w:spacing w:after="0"/>
        <w:jc w:val="both"/>
        <w:rPr>
          <w:szCs w:val="24"/>
        </w:rPr>
      </w:pPr>
    </w:p>
    <w:p w14:paraId="327B149F" w14:textId="36D2F2CD" w:rsidR="0047445F" w:rsidRDefault="0047445F" w:rsidP="009A0A44">
      <w:pPr>
        <w:spacing w:after="0"/>
        <w:jc w:val="both"/>
        <w:rPr>
          <w:szCs w:val="24"/>
        </w:rPr>
      </w:pPr>
    </w:p>
    <w:p w14:paraId="55B9708C" w14:textId="461F8F0A" w:rsidR="0047445F" w:rsidRDefault="0047445F" w:rsidP="009A0A44">
      <w:pPr>
        <w:spacing w:after="0"/>
        <w:jc w:val="both"/>
        <w:rPr>
          <w:szCs w:val="24"/>
        </w:rPr>
      </w:pPr>
    </w:p>
    <w:p w14:paraId="43BF46DA" w14:textId="1C0DF955" w:rsidR="0047445F" w:rsidRDefault="0047445F" w:rsidP="009A0A44">
      <w:pPr>
        <w:spacing w:after="0"/>
        <w:jc w:val="both"/>
        <w:rPr>
          <w:szCs w:val="24"/>
        </w:rPr>
      </w:pPr>
    </w:p>
    <w:p w14:paraId="5F22E714" w14:textId="5907C2C1" w:rsidR="0047445F" w:rsidRDefault="0047445F" w:rsidP="009A0A44">
      <w:pPr>
        <w:spacing w:after="0"/>
        <w:jc w:val="both"/>
        <w:rPr>
          <w:szCs w:val="24"/>
        </w:rPr>
      </w:pPr>
    </w:p>
    <w:p w14:paraId="19C753D0" w14:textId="0EE7030B" w:rsidR="0047445F" w:rsidRDefault="0047445F" w:rsidP="009A0A44">
      <w:pPr>
        <w:spacing w:after="0"/>
        <w:jc w:val="both"/>
        <w:rPr>
          <w:szCs w:val="24"/>
        </w:rPr>
      </w:pPr>
    </w:p>
    <w:p w14:paraId="4F6C847A" w14:textId="1123211A" w:rsidR="0047445F" w:rsidRDefault="0047445F" w:rsidP="009A0A44">
      <w:pPr>
        <w:spacing w:after="0"/>
        <w:jc w:val="both"/>
        <w:rPr>
          <w:szCs w:val="24"/>
        </w:rPr>
      </w:pPr>
    </w:p>
    <w:p w14:paraId="0BB9A1B0" w14:textId="6B7C9C1A" w:rsidR="0047445F" w:rsidRDefault="0047445F" w:rsidP="009A0A44">
      <w:pPr>
        <w:spacing w:after="0"/>
        <w:jc w:val="both"/>
        <w:rPr>
          <w:szCs w:val="24"/>
        </w:rPr>
      </w:pPr>
    </w:p>
    <w:p w14:paraId="267D7002" w14:textId="77777777" w:rsidR="0047445F" w:rsidRDefault="0047445F" w:rsidP="009A0A44">
      <w:pPr>
        <w:spacing w:after="0"/>
        <w:jc w:val="both"/>
        <w:rPr>
          <w:szCs w:val="24"/>
        </w:rPr>
      </w:pPr>
    </w:p>
    <w:p w14:paraId="4C0DF7E7" w14:textId="36A29A6F" w:rsidR="00B16C1C" w:rsidRDefault="00B16C1C" w:rsidP="009A0A44">
      <w:pPr>
        <w:spacing w:after="0"/>
        <w:jc w:val="both"/>
        <w:rPr>
          <w:szCs w:val="24"/>
        </w:rPr>
      </w:pPr>
    </w:p>
    <w:p w14:paraId="170B6A45" w14:textId="2BF899A8" w:rsidR="00A8347F" w:rsidRDefault="00A8347F" w:rsidP="009A0A44">
      <w:pPr>
        <w:spacing w:after="0"/>
        <w:jc w:val="both"/>
        <w:rPr>
          <w:szCs w:val="24"/>
        </w:rPr>
      </w:pPr>
    </w:p>
    <w:p w14:paraId="7B9065CC" w14:textId="1E3C35D0" w:rsidR="00A8347F" w:rsidRDefault="00A8347F" w:rsidP="009A0A44">
      <w:pPr>
        <w:spacing w:after="0"/>
        <w:jc w:val="both"/>
        <w:rPr>
          <w:szCs w:val="24"/>
        </w:rPr>
      </w:pPr>
    </w:p>
    <w:p w14:paraId="06E91BC5" w14:textId="37DB18AD" w:rsidR="00983A42" w:rsidRDefault="00983A42" w:rsidP="009A0A44">
      <w:pPr>
        <w:spacing w:after="0"/>
        <w:jc w:val="both"/>
        <w:rPr>
          <w:szCs w:val="24"/>
        </w:rPr>
      </w:pPr>
    </w:p>
    <w:p w14:paraId="6B4E82F5" w14:textId="3E02D03D" w:rsidR="00983A42" w:rsidRDefault="00983A42" w:rsidP="009A0A44">
      <w:pPr>
        <w:spacing w:after="0"/>
        <w:jc w:val="both"/>
        <w:rPr>
          <w:szCs w:val="24"/>
        </w:rPr>
      </w:pPr>
    </w:p>
    <w:p w14:paraId="0CFB88E8" w14:textId="28BFF078" w:rsidR="00983A42" w:rsidRDefault="00983A42" w:rsidP="009A0A44">
      <w:pPr>
        <w:spacing w:after="0"/>
        <w:jc w:val="both"/>
        <w:rPr>
          <w:szCs w:val="24"/>
        </w:rPr>
      </w:pPr>
    </w:p>
    <w:p w14:paraId="6678EA4F" w14:textId="47C1B3D0" w:rsidR="00983A42" w:rsidRDefault="00983A42" w:rsidP="009A0A44">
      <w:pPr>
        <w:spacing w:after="0"/>
        <w:jc w:val="both"/>
        <w:rPr>
          <w:szCs w:val="24"/>
        </w:rPr>
      </w:pPr>
    </w:p>
    <w:p w14:paraId="6D1C079B" w14:textId="675CA55D" w:rsidR="00983A42" w:rsidRDefault="00983A42" w:rsidP="009A0A44">
      <w:pPr>
        <w:spacing w:after="0"/>
        <w:jc w:val="both"/>
        <w:rPr>
          <w:szCs w:val="24"/>
        </w:rPr>
      </w:pPr>
    </w:p>
    <w:p w14:paraId="6840DBE4" w14:textId="1B40A461" w:rsidR="00983A42" w:rsidRDefault="00983A42" w:rsidP="009A0A44">
      <w:pPr>
        <w:spacing w:after="0"/>
        <w:jc w:val="both"/>
        <w:rPr>
          <w:szCs w:val="24"/>
        </w:rPr>
      </w:pPr>
    </w:p>
    <w:p w14:paraId="19EEDBF5" w14:textId="7B78FAC0" w:rsidR="00983A42" w:rsidRDefault="00983A42" w:rsidP="009A0A44">
      <w:pPr>
        <w:spacing w:after="0"/>
        <w:jc w:val="both"/>
        <w:rPr>
          <w:szCs w:val="24"/>
        </w:rPr>
      </w:pPr>
    </w:p>
    <w:p w14:paraId="6B389328" w14:textId="747245A9" w:rsidR="00983A42" w:rsidRDefault="00983A42" w:rsidP="009A0A44">
      <w:pPr>
        <w:spacing w:after="0"/>
        <w:jc w:val="both"/>
        <w:rPr>
          <w:szCs w:val="24"/>
        </w:rPr>
      </w:pPr>
    </w:p>
    <w:p w14:paraId="5EE76665" w14:textId="6E501039" w:rsidR="00983A42" w:rsidRDefault="00983A42" w:rsidP="009A0A44">
      <w:pPr>
        <w:spacing w:after="0"/>
        <w:jc w:val="both"/>
        <w:rPr>
          <w:szCs w:val="24"/>
        </w:rPr>
      </w:pPr>
    </w:p>
    <w:p w14:paraId="108B4B41" w14:textId="4AD2A97F" w:rsidR="00983A42" w:rsidRDefault="00983A42" w:rsidP="009A0A44">
      <w:pPr>
        <w:spacing w:after="0"/>
        <w:jc w:val="both"/>
        <w:rPr>
          <w:szCs w:val="24"/>
        </w:rPr>
      </w:pPr>
    </w:p>
    <w:p w14:paraId="0EBD3F69" w14:textId="0D36638F" w:rsidR="00983A42" w:rsidRDefault="00983A42" w:rsidP="009A0A44">
      <w:pPr>
        <w:spacing w:after="0"/>
        <w:jc w:val="both"/>
        <w:rPr>
          <w:szCs w:val="24"/>
        </w:rPr>
      </w:pPr>
    </w:p>
    <w:p w14:paraId="7A961234" w14:textId="6A454A00" w:rsidR="00983A42" w:rsidRDefault="00983A42" w:rsidP="009A0A44">
      <w:pPr>
        <w:spacing w:after="0"/>
        <w:jc w:val="both"/>
        <w:rPr>
          <w:szCs w:val="24"/>
        </w:rPr>
      </w:pPr>
    </w:p>
    <w:p w14:paraId="7F34DE9A" w14:textId="2A4CBCC6" w:rsidR="00983A42" w:rsidRDefault="00983A42" w:rsidP="009A0A44">
      <w:pPr>
        <w:spacing w:after="0"/>
        <w:jc w:val="both"/>
        <w:rPr>
          <w:szCs w:val="24"/>
        </w:rPr>
      </w:pPr>
    </w:p>
    <w:p w14:paraId="5CF2B119" w14:textId="6580FC9F" w:rsidR="00983A42" w:rsidRDefault="00983A42" w:rsidP="009A0A44">
      <w:pPr>
        <w:spacing w:after="0"/>
        <w:jc w:val="both"/>
        <w:rPr>
          <w:szCs w:val="24"/>
        </w:rPr>
      </w:pPr>
    </w:p>
    <w:p w14:paraId="20685939" w14:textId="5E33A40A" w:rsidR="00983A42" w:rsidRDefault="00983A42" w:rsidP="009A0A44">
      <w:pPr>
        <w:spacing w:after="0"/>
        <w:jc w:val="both"/>
        <w:rPr>
          <w:szCs w:val="24"/>
        </w:rPr>
      </w:pPr>
    </w:p>
    <w:p w14:paraId="7E2906A5" w14:textId="06F0E12E" w:rsidR="00983A42" w:rsidRDefault="00983A42" w:rsidP="009A0A44">
      <w:pPr>
        <w:spacing w:after="0"/>
        <w:jc w:val="both"/>
        <w:rPr>
          <w:szCs w:val="24"/>
        </w:rPr>
      </w:pPr>
    </w:p>
    <w:p w14:paraId="61FB514A" w14:textId="016A6AD7" w:rsidR="00983A42" w:rsidRDefault="00983A42" w:rsidP="009A0A44">
      <w:pPr>
        <w:spacing w:after="0"/>
        <w:jc w:val="both"/>
        <w:rPr>
          <w:szCs w:val="24"/>
        </w:rPr>
      </w:pPr>
    </w:p>
    <w:p w14:paraId="3FDA5B5D" w14:textId="36EFCCB6" w:rsidR="0070393D" w:rsidRDefault="0070393D" w:rsidP="009A0A44">
      <w:pPr>
        <w:spacing w:after="0"/>
        <w:jc w:val="both"/>
        <w:rPr>
          <w:szCs w:val="24"/>
        </w:rPr>
      </w:pPr>
    </w:p>
    <w:p w14:paraId="288D385D" w14:textId="4CB7FDE2" w:rsidR="0070393D" w:rsidRDefault="0070393D" w:rsidP="009A0A44">
      <w:pPr>
        <w:spacing w:after="0"/>
        <w:jc w:val="both"/>
        <w:rPr>
          <w:szCs w:val="24"/>
        </w:rPr>
      </w:pPr>
    </w:p>
    <w:p w14:paraId="4993A67C" w14:textId="77777777" w:rsidR="0070393D" w:rsidRDefault="0070393D" w:rsidP="009A0A44">
      <w:pPr>
        <w:spacing w:after="0"/>
        <w:jc w:val="both"/>
        <w:rPr>
          <w:szCs w:val="24"/>
        </w:rPr>
      </w:pPr>
    </w:p>
    <w:p w14:paraId="4EEC2C50" w14:textId="77777777" w:rsidR="00A80C59" w:rsidRDefault="00A80C59" w:rsidP="009A0A44">
      <w:pPr>
        <w:spacing w:after="0"/>
        <w:jc w:val="both"/>
        <w:rPr>
          <w:szCs w:val="24"/>
        </w:rPr>
      </w:pPr>
    </w:p>
    <w:p w14:paraId="556CD945" w14:textId="77777777" w:rsidR="00B16C1C" w:rsidRDefault="00B16C1C" w:rsidP="009A0A44">
      <w:pPr>
        <w:spacing w:after="0"/>
        <w:jc w:val="both"/>
        <w:rPr>
          <w:szCs w:val="24"/>
        </w:rPr>
      </w:pPr>
    </w:p>
    <w:p w14:paraId="4BD80E99" w14:textId="77777777" w:rsidR="00B16C1C" w:rsidRDefault="00B16C1C" w:rsidP="009A0A44">
      <w:pPr>
        <w:spacing w:after="0"/>
        <w:jc w:val="both"/>
        <w:rPr>
          <w:szCs w:val="24"/>
        </w:rPr>
      </w:pPr>
    </w:p>
    <w:p w14:paraId="3AB4D7F4" w14:textId="77777777" w:rsidR="00DA7BDD" w:rsidRDefault="00DA7BDD" w:rsidP="009A0A44">
      <w:pPr>
        <w:spacing w:after="0"/>
        <w:jc w:val="both"/>
        <w:rPr>
          <w:szCs w:val="24"/>
        </w:rPr>
        <w:sectPr w:rsidR="00DA7BDD" w:rsidSect="00B57F20">
          <w:type w:val="continuous"/>
          <w:pgSz w:w="16838" w:h="11906" w:orient="landscape"/>
          <w:pgMar w:top="1134" w:right="1134" w:bottom="1134" w:left="1134" w:header="709" w:footer="709" w:gutter="0"/>
          <w:cols w:num="2" w:space="708"/>
          <w:docGrid w:linePitch="360"/>
        </w:sectPr>
      </w:pPr>
    </w:p>
    <w:p w14:paraId="46CD7359" w14:textId="77777777" w:rsidR="008A0D11" w:rsidRPr="0003215F" w:rsidRDefault="008A0D11" w:rsidP="00193356">
      <w:pPr>
        <w:spacing w:after="0" w:line="240" w:lineRule="auto"/>
        <w:jc w:val="right"/>
        <w:rPr>
          <w:b/>
        </w:rPr>
      </w:pPr>
      <w:r w:rsidRPr="0003215F">
        <w:rPr>
          <w:b/>
        </w:rPr>
        <w:lastRenderedPageBreak/>
        <w:t>Appendix 1</w:t>
      </w:r>
    </w:p>
    <w:p w14:paraId="67F30FE8" w14:textId="77777777" w:rsidR="008A0D11" w:rsidRPr="0003215F" w:rsidRDefault="008A0D11" w:rsidP="008A0D11">
      <w:pPr>
        <w:spacing w:after="0"/>
        <w:jc w:val="center"/>
        <w:rPr>
          <w:b/>
        </w:rPr>
      </w:pPr>
      <w:r w:rsidRPr="0003215F">
        <w:rPr>
          <w:b/>
        </w:rPr>
        <w:t>Generic Service Standards</w:t>
      </w:r>
    </w:p>
    <w:p w14:paraId="72B61DEE" w14:textId="77777777" w:rsidR="008A0D11" w:rsidRDefault="008A0D11" w:rsidP="00193356">
      <w:pPr>
        <w:spacing w:after="0" w:line="240" w:lineRule="auto"/>
        <w:jc w:val="both"/>
      </w:pPr>
    </w:p>
    <w:tbl>
      <w:tblPr>
        <w:tblStyle w:val="TableGrid"/>
        <w:tblW w:w="0" w:type="auto"/>
        <w:tblInd w:w="108" w:type="dxa"/>
        <w:tblLook w:val="04A0" w:firstRow="1" w:lastRow="0" w:firstColumn="1" w:lastColumn="0" w:noHBand="0" w:noVBand="1"/>
      </w:tblPr>
      <w:tblGrid>
        <w:gridCol w:w="1857"/>
        <w:gridCol w:w="12595"/>
      </w:tblGrid>
      <w:tr w:rsidR="008A0D11" w:rsidRPr="00272CF3" w14:paraId="15A53BC1" w14:textId="77777777" w:rsidTr="00E31A12">
        <w:tc>
          <w:tcPr>
            <w:tcW w:w="1857" w:type="dxa"/>
          </w:tcPr>
          <w:p w14:paraId="4FA72DD1" w14:textId="77777777" w:rsidR="008A0D11" w:rsidRPr="00272CF3" w:rsidRDefault="008A0D11" w:rsidP="009F386F">
            <w:pPr>
              <w:spacing w:line="276" w:lineRule="auto"/>
              <w:jc w:val="both"/>
              <w:rPr>
                <w:rFonts w:cs="Arial"/>
                <w:b/>
              </w:rPr>
            </w:pPr>
            <w:r w:rsidRPr="00272CF3">
              <w:rPr>
                <w:rFonts w:cs="Arial"/>
                <w:b/>
              </w:rPr>
              <w:t>Service Standard</w:t>
            </w:r>
          </w:p>
        </w:tc>
        <w:tc>
          <w:tcPr>
            <w:tcW w:w="12595" w:type="dxa"/>
          </w:tcPr>
          <w:p w14:paraId="5B959C97" w14:textId="77777777" w:rsidR="008A0D11" w:rsidRPr="00272CF3" w:rsidRDefault="008A0D11" w:rsidP="009F386F">
            <w:pPr>
              <w:spacing w:before="120" w:line="276" w:lineRule="auto"/>
              <w:jc w:val="center"/>
              <w:rPr>
                <w:rFonts w:cs="Arial"/>
                <w:b/>
              </w:rPr>
            </w:pPr>
            <w:r w:rsidRPr="00272CF3">
              <w:rPr>
                <w:rFonts w:cs="Arial"/>
                <w:b/>
              </w:rPr>
              <w:t>Description</w:t>
            </w:r>
            <w:r>
              <w:rPr>
                <w:rFonts w:cs="Arial"/>
                <w:b/>
              </w:rPr>
              <w:t xml:space="preserve"> of Level of Service</w:t>
            </w:r>
          </w:p>
        </w:tc>
      </w:tr>
      <w:tr w:rsidR="00E31A12" w:rsidRPr="00272CF3" w14:paraId="56F96760" w14:textId="77777777" w:rsidTr="00E31A12">
        <w:tc>
          <w:tcPr>
            <w:tcW w:w="1857" w:type="dxa"/>
            <w:shd w:val="clear" w:color="auto" w:fill="00B050"/>
          </w:tcPr>
          <w:p w14:paraId="1F9F3452" w14:textId="1D449F62" w:rsidR="00E31A12" w:rsidRPr="00272CF3" w:rsidRDefault="00E31A12" w:rsidP="00E31A12">
            <w:pPr>
              <w:jc w:val="both"/>
              <w:rPr>
                <w:rFonts w:cs="Arial"/>
                <w:b/>
              </w:rPr>
            </w:pPr>
            <w:r w:rsidRPr="00E31A12">
              <w:rPr>
                <w:rFonts w:cs="Arial"/>
                <w:b/>
                <w:color w:val="000000" w:themeColor="text1"/>
              </w:rPr>
              <w:t>EXCELLENT</w:t>
            </w:r>
          </w:p>
        </w:tc>
        <w:tc>
          <w:tcPr>
            <w:tcW w:w="12595" w:type="dxa"/>
          </w:tcPr>
          <w:p w14:paraId="6CA32F24" w14:textId="77777777" w:rsidR="00E31A12" w:rsidRPr="00272CF3" w:rsidRDefault="00E31A12" w:rsidP="00E31A12">
            <w:pPr>
              <w:spacing w:line="276" w:lineRule="auto"/>
              <w:jc w:val="both"/>
              <w:rPr>
                <w:rFonts w:cs="Arial"/>
                <w:b/>
                <w:color w:val="000000" w:themeColor="text1"/>
              </w:rPr>
            </w:pPr>
            <w:r w:rsidRPr="00272CF3">
              <w:rPr>
                <w:rFonts w:cs="Arial"/>
                <w:b/>
                <w:color w:val="000000" w:themeColor="text1"/>
              </w:rPr>
              <w:t>Definition</w:t>
            </w:r>
          </w:p>
          <w:p w14:paraId="4B546F4A" w14:textId="77777777" w:rsidR="00E31A12" w:rsidRPr="00272CF3" w:rsidRDefault="00E31A12" w:rsidP="00E31A12">
            <w:pPr>
              <w:spacing w:line="276" w:lineRule="auto"/>
              <w:jc w:val="both"/>
              <w:rPr>
                <w:rFonts w:cs="Arial"/>
              </w:rPr>
            </w:pPr>
            <w:r w:rsidRPr="00272CF3">
              <w:rPr>
                <w:rFonts w:cs="Arial"/>
              </w:rPr>
              <w:t xml:space="preserve">A level of service that </w:t>
            </w:r>
            <w:r>
              <w:rPr>
                <w:rFonts w:cs="Arial"/>
              </w:rPr>
              <w:t xml:space="preserve">is well </w:t>
            </w:r>
            <w:r w:rsidRPr="00272CF3">
              <w:rPr>
                <w:rFonts w:cs="Arial"/>
              </w:rPr>
              <w:t xml:space="preserve">above 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Service delivery aimed at maintaining the asset to a high standard.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w:t>
            </w:r>
          </w:p>
          <w:p w14:paraId="013E436D" w14:textId="77777777" w:rsidR="00E31A12" w:rsidRPr="002C25E5" w:rsidRDefault="00E31A12" w:rsidP="00E31A12">
            <w:pPr>
              <w:jc w:val="both"/>
              <w:rPr>
                <w:rFonts w:cs="Arial"/>
              </w:rPr>
            </w:pPr>
          </w:p>
          <w:p w14:paraId="4CAD6265" w14:textId="77777777" w:rsidR="00E31A12" w:rsidRPr="00272CF3" w:rsidRDefault="00E31A12" w:rsidP="00E31A12">
            <w:pPr>
              <w:pStyle w:val="ListParagraph"/>
              <w:numPr>
                <w:ilvl w:val="0"/>
                <w:numId w:val="29"/>
              </w:numPr>
              <w:ind w:left="357" w:hanging="357"/>
              <w:jc w:val="both"/>
              <w:rPr>
                <w:rFonts w:cs="Arial"/>
                <w:b/>
              </w:rPr>
            </w:pPr>
            <w:r w:rsidRPr="00272CF3">
              <w:rPr>
                <w:rFonts w:cs="Arial"/>
                <w:b/>
              </w:rPr>
              <w:t>Legal</w:t>
            </w:r>
          </w:p>
          <w:p w14:paraId="32A4A691" w14:textId="77777777" w:rsidR="00E31A12" w:rsidRPr="00272CF3" w:rsidRDefault="00E31A12" w:rsidP="00E31A12">
            <w:pPr>
              <w:pStyle w:val="ListParagraph"/>
              <w:numPr>
                <w:ilvl w:val="0"/>
                <w:numId w:val="4"/>
              </w:numPr>
              <w:spacing w:line="276" w:lineRule="auto"/>
              <w:ind w:left="357" w:hanging="357"/>
              <w:jc w:val="both"/>
              <w:rPr>
                <w:rFonts w:cs="Arial"/>
              </w:rPr>
            </w:pPr>
            <w:r w:rsidRPr="00272CF3">
              <w:rPr>
                <w:rFonts w:cs="Arial"/>
              </w:rPr>
              <w:t>The authority complies with the requirements of the relevant codes of practice in all respects; any minor local derogation</w:t>
            </w:r>
            <w:r>
              <w:rPr>
                <w:rFonts w:cs="Arial"/>
              </w:rPr>
              <w:t>s</w:t>
            </w:r>
            <w:r w:rsidRPr="00272CF3">
              <w:rPr>
                <w:rFonts w:cs="Arial"/>
              </w:rPr>
              <w:t xml:space="preserve"> are documented and supported by a robust risk </w:t>
            </w:r>
            <w:proofErr w:type="gramStart"/>
            <w:r w:rsidRPr="00272CF3">
              <w:rPr>
                <w:rFonts w:cs="Arial"/>
              </w:rPr>
              <w:t>assessment;</w:t>
            </w:r>
            <w:proofErr w:type="gramEnd"/>
          </w:p>
          <w:p w14:paraId="7196E0DD" w14:textId="77777777" w:rsidR="00E31A12" w:rsidRPr="00272CF3" w:rsidRDefault="00E31A12" w:rsidP="00E31A12">
            <w:pPr>
              <w:pStyle w:val="ListParagraph"/>
              <w:numPr>
                <w:ilvl w:val="0"/>
                <w:numId w:val="4"/>
              </w:numPr>
              <w:spacing w:line="276" w:lineRule="auto"/>
              <w:ind w:left="357" w:hanging="357"/>
              <w:jc w:val="both"/>
              <w:rPr>
                <w:rFonts w:cs="Arial"/>
              </w:rPr>
            </w:pPr>
            <w:r w:rsidRPr="00272CF3">
              <w:rPr>
                <w:rFonts w:cs="Arial"/>
              </w:rPr>
              <w:t xml:space="preserve">We know what is required and how we deliver the </w:t>
            </w:r>
            <w:proofErr w:type="gramStart"/>
            <w:r w:rsidRPr="00272CF3">
              <w:rPr>
                <w:rFonts w:cs="Arial"/>
              </w:rPr>
              <w:t>requirements;</w:t>
            </w:r>
            <w:proofErr w:type="gramEnd"/>
          </w:p>
          <w:p w14:paraId="443D7678" w14:textId="77777777" w:rsidR="00E31A12" w:rsidRPr="00272CF3" w:rsidRDefault="00E31A12" w:rsidP="00E31A12">
            <w:pPr>
              <w:pStyle w:val="ListParagraph"/>
              <w:numPr>
                <w:ilvl w:val="0"/>
                <w:numId w:val="4"/>
              </w:numPr>
              <w:spacing w:line="276" w:lineRule="auto"/>
              <w:ind w:left="357" w:hanging="357"/>
              <w:jc w:val="both"/>
              <w:rPr>
                <w:rFonts w:cs="Arial"/>
              </w:rPr>
            </w:pPr>
            <w:r w:rsidRPr="00272CF3">
              <w:rPr>
                <w:rFonts w:cs="Arial"/>
              </w:rPr>
              <w:t>We further understand future needs and pressures and have a well-developed strategic plan for the next five years.</w:t>
            </w:r>
          </w:p>
          <w:p w14:paraId="04F6C0EC" w14:textId="77777777" w:rsidR="00E31A12" w:rsidRPr="002C25E5" w:rsidRDefault="00E31A12" w:rsidP="00E31A12">
            <w:pPr>
              <w:jc w:val="both"/>
              <w:rPr>
                <w:rFonts w:cs="Arial"/>
              </w:rPr>
            </w:pPr>
          </w:p>
          <w:p w14:paraId="0953E3B9" w14:textId="77777777" w:rsidR="00E31A12" w:rsidRPr="00272CF3" w:rsidRDefault="00E31A12" w:rsidP="00E31A12">
            <w:pPr>
              <w:pStyle w:val="ListParagraph"/>
              <w:numPr>
                <w:ilvl w:val="0"/>
                <w:numId w:val="29"/>
              </w:numPr>
              <w:ind w:left="357" w:hanging="357"/>
              <w:jc w:val="both"/>
              <w:rPr>
                <w:rFonts w:cs="Arial"/>
                <w:b/>
              </w:rPr>
            </w:pPr>
            <w:r w:rsidRPr="00272CF3">
              <w:rPr>
                <w:rFonts w:cs="Arial"/>
                <w:b/>
              </w:rPr>
              <w:t>Safety</w:t>
            </w:r>
          </w:p>
          <w:p w14:paraId="7253D658" w14:textId="269605B8" w:rsidR="00E31A12" w:rsidRPr="00272CF3" w:rsidRDefault="00E31A12" w:rsidP="00E31A12">
            <w:pPr>
              <w:pStyle w:val="ListParagraph"/>
              <w:numPr>
                <w:ilvl w:val="0"/>
                <w:numId w:val="2"/>
              </w:numPr>
              <w:spacing w:line="276" w:lineRule="auto"/>
              <w:ind w:left="357" w:hanging="357"/>
              <w:jc w:val="both"/>
              <w:rPr>
                <w:rFonts w:cs="Arial"/>
                <w:b/>
                <w:color w:val="000000" w:themeColor="text1"/>
              </w:rPr>
            </w:pPr>
            <w:r>
              <w:rPr>
                <w:rFonts w:cs="Arial"/>
                <w:color w:val="000000" w:themeColor="text1"/>
              </w:rPr>
              <w:t>Significant</w:t>
            </w:r>
            <w:r w:rsidRPr="00272CF3">
              <w:rPr>
                <w:rFonts w:cs="Arial"/>
                <w:color w:val="000000" w:themeColor="text1"/>
              </w:rPr>
              <w:t xml:space="preserve"> reduction in claims against LCC for personal injury and </w:t>
            </w:r>
            <w:proofErr w:type="gramStart"/>
            <w:r w:rsidRPr="00272CF3">
              <w:rPr>
                <w:rFonts w:cs="Arial"/>
                <w:color w:val="000000" w:themeColor="text1"/>
              </w:rPr>
              <w:t>third party</w:t>
            </w:r>
            <w:proofErr w:type="gramEnd"/>
            <w:r w:rsidRPr="00272CF3">
              <w:rPr>
                <w:rFonts w:cs="Arial"/>
                <w:color w:val="000000" w:themeColor="text1"/>
              </w:rPr>
              <w:t xml:space="preserve"> damage.</w:t>
            </w:r>
          </w:p>
          <w:p w14:paraId="1552D945" w14:textId="329868C2" w:rsidR="00E31A12" w:rsidRPr="00272CF3" w:rsidRDefault="00E31A12" w:rsidP="00E31A12">
            <w:pPr>
              <w:pStyle w:val="ListParagraph"/>
              <w:numPr>
                <w:ilvl w:val="0"/>
                <w:numId w:val="21"/>
              </w:numPr>
              <w:spacing w:line="276" w:lineRule="auto"/>
              <w:ind w:left="357" w:hanging="357"/>
              <w:jc w:val="both"/>
              <w:rPr>
                <w:rFonts w:cs="Arial"/>
              </w:rPr>
            </w:pPr>
            <w:r w:rsidRPr="00272CF3">
              <w:rPr>
                <w:rFonts w:cs="Arial"/>
              </w:rPr>
              <w:t>Safety defects are well defined with performance standards for rectification of those defects.</w:t>
            </w:r>
          </w:p>
          <w:p w14:paraId="2665E3BD" w14:textId="3DD85C99" w:rsidR="00E31A12" w:rsidRPr="00272CF3" w:rsidRDefault="00E31A12" w:rsidP="00E31A12">
            <w:pPr>
              <w:pStyle w:val="ListParagraph"/>
              <w:numPr>
                <w:ilvl w:val="0"/>
                <w:numId w:val="21"/>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14:paraId="2DDEA1ED" w14:textId="0A8E0E26" w:rsidR="00E31A12" w:rsidRPr="00272CF3" w:rsidRDefault="00E31A12" w:rsidP="00E31A12">
            <w:pPr>
              <w:pStyle w:val="ListParagraph"/>
              <w:numPr>
                <w:ilvl w:val="0"/>
                <w:numId w:val="21"/>
              </w:numPr>
              <w:spacing w:line="276" w:lineRule="auto"/>
              <w:ind w:left="357" w:hanging="357"/>
              <w:jc w:val="both"/>
              <w:rPr>
                <w:rFonts w:cs="Arial"/>
              </w:rPr>
            </w:pPr>
            <w:r w:rsidRPr="00272CF3">
              <w:rPr>
                <w:rFonts w:cs="Arial"/>
              </w:rPr>
              <w:t>We have relevant information to support our delivery to required performance standards</w:t>
            </w:r>
            <w:r w:rsidRPr="00272CF3">
              <w:rPr>
                <w:rFonts w:cs="Arial"/>
                <w:b/>
              </w:rPr>
              <w:t>.</w:t>
            </w:r>
          </w:p>
          <w:p w14:paraId="50F6D9E3" w14:textId="77777777" w:rsidR="00E31A12" w:rsidRPr="00272CF3" w:rsidRDefault="00E31A12" w:rsidP="00E31A12">
            <w:pPr>
              <w:pStyle w:val="ListParagraph"/>
              <w:numPr>
                <w:ilvl w:val="0"/>
                <w:numId w:val="21"/>
              </w:numPr>
              <w:spacing w:line="276" w:lineRule="auto"/>
              <w:ind w:left="357" w:hanging="357"/>
              <w:jc w:val="both"/>
              <w:rPr>
                <w:rFonts w:cs="Arial"/>
              </w:rPr>
            </w:pPr>
            <w:r w:rsidRPr="00272CF3">
              <w:rPr>
                <w:rFonts w:cs="Arial"/>
              </w:rPr>
              <w:t>Performance standards are challenging and reviewed regularly.</w:t>
            </w:r>
          </w:p>
          <w:p w14:paraId="2911BCAC" w14:textId="77777777" w:rsidR="00E31A12" w:rsidRPr="002C25E5" w:rsidRDefault="00E31A12" w:rsidP="00E31A12">
            <w:pPr>
              <w:jc w:val="both"/>
              <w:rPr>
                <w:rFonts w:cs="Arial"/>
              </w:rPr>
            </w:pPr>
          </w:p>
          <w:p w14:paraId="287FD8D8" w14:textId="77777777" w:rsidR="00E31A12" w:rsidRPr="00272CF3" w:rsidRDefault="00E31A12" w:rsidP="00E31A12">
            <w:pPr>
              <w:pStyle w:val="ListParagraph"/>
              <w:numPr>
                <w:ilvl w:val="0"/>
                <w:numId w:val="29"/>
              </w:numPr>
              <w:ind w:left="357" w:hanging="357"/>
              <w:jc w:val="both"/>
              <w:rPr>
                <w:rFonts w:cs="Arial"/>
                <w:b/>
              </w:rPr>
            </w:pPr>
            <w:r w:rsidRPr="00272CF3">
              <w:rPr>
                <w:rFonts w:cs="Arial"/>
                <w:b/>
              </w:rPr>
              <w:t>Availability</w:t>
            </w:r>
          </w:p>
          <w:p w14:paraId="4BAE9F73" w14:textId="77777777" w:rsidR="00E31A12" w:rsidRPr="00272CF3" w:rsidRDefault="00E31A12" w:rsidP="00E31A12">
            <w:pPr>
              <w:pStyle w:val="ListParagraph"/>
              <w:numPr>
                <w:ilvl w:val="0"/>
                <w:numId w:val="22"/>
              </w:numPr>
              <w:spacing w:line="276" w:lineRule="auto"/>
              <w:ind w:left="357" w:hanging="357"/>
              <w:jc w:val="both"/>
              <w:rPr>
                <w:rFonts w:cs="Arial"/>
              </w:rPr>
            </w:pPr>
            <w:r w:rsidRPr="00272CF3">
              <w:rPr>
                <w:rFonts w:cs="Arial"/>
              </w:rPr>
              <w:t>The asset is available for normal reasonable use.</w:t>
            </w:r>
          </w:p>
          <w:p w14:paraId="1F415445" w14:textId="77777777" w:rsidR="00E31A12" w:rsidRPr="002C25E5" w:rsidRDefault="00E31A12" w:rsidP="00E31A12">
            <w:pPr>
              <w:jc w:val="both"/>
              <w:rPr>
                <w:rFonts w:cs="Arial"/>
              </w:rPr>
            </w:pPr>
          </w:p>
          <w:p w14:paraId="64353C80" w14:textId="77777777" w:rsidR="00E31A12" w:rsidRPr="00272CF3" w:rsidRDefault="00E31A12" w:rsidP="00E31A12">
            <w:pPr>
              <w:pStyle w:val="ListParagraph"/>
              <w:numPr>
                <w:ilvl w:val="0"/>
                <w:numId w:val="29"/>
              </w:numPr>
              <w:ind w:left="357" w:hanging="357"/>
              <w:jc w:val="both"/>
              <w:rPr>
                <w:rFonts w:cs="Arial"/>
                <w:b/>
                <w:color w:val="000000" w:themeColor="text1"/>
              </w:rPr>
            </w:pPr>
            <w:r w:rsidRPr="00272CF3">
              <w:rPr>
                <w:rFonts w:cs="Arial"/>
                <w:b/>
                <w:color w:val="000000" w:themeColor="text1"/>
              </w:rPr>
              <w:t>Condition</w:t>
            </w:r>
          </w:p>
          <w:p w14:paraId="695EE785" w14:textId="2757EF1F" w:rsidR="00E31A12" w:rsidRPr="00272CF3" w:rsidRDefault="00E31A12" w:rsidP="00E31A12">
            <w:pPr>
              <w:pStyle w:val="ListParagraph"/>
              <w:numPr>
                <w:ilvl w:val="0"/>
                <w:numId w:val="22"/>
              </w:numPr>
              <w:spacing w:line="276" w:lineRule="auto"/>
              <w:ind w:left="357" w:hanging="357"/>
              <w:jc w:val="both"/>
              <w:rPr>
                <w:rFonts w:cs="Arial"/>
              </w:rPr>
            </w:pPr>
            <w:r w:rsidRPr="00272CF3">
              <w:rPr>
                <w:rFonts w:cs="Arial"/>
              </w:rPr>
              <w:t>The condition of the asset is improving strongly with asset value increasing.</w:t>
            </w:r>
          </w:p>
          <w:p w14:paraId="78E4BE2B" w14:textId="77777777" w:rsidR="00E31A12" w:rsidRPr="00272CF3" w:rsidRDefault="00E31A12" w:rsidP="00E31A12">
            <w:pPr>
              <w:pStyle w:val="ListParagraph"/>
              <w:numPr>
                <w:ilvl w:val="0"/>
                <w:numId w:val="22"/>
              </w:numPr>
              <w:spacing w:line="276" w:lineRule="auto"/>
              <w:ind w:left="357" w:hanging="357"/>
              <w:jc w:val="both"/>
              <w:rPr>
                <w:rFonts w:cs="Arial"/>
              </w:rPr>
            </w:pPr>
            <w:r w:rsidRPr="00272CF3">
              <w:rPr>
                <w:rFonts w:cs="Arial"/>
              </w:rPr>
              <w:lastRenderedPageBreak/>
              <w:t>It is increasingly possible to flexibly assign resources to selected programmes each year as the relative deterioration is marginal year on year.</w:t>
            </w:r>
          </w:p>
          <w:p w14:paraId="7A606430" w14:textId="77777777" w:rsidR="00E31A12" w:rsidRPr="002C25E5" w:rsidRDefault="00E31A12" w:rsidP="00E31A12">
            <w:pPr>
              <w:jc w:val="both"/>
              <w:rPr>
                <w:rFonts w:cs="Arial"/>
              </w:rPr>
            </w:pPr>
          </w:p>
          <w:p w14:paraId="5EF08D48" w14:textId="77777777" w:rsidR="00E31A12" w:rsidRPr="00272CF3" w:rsidRDefault="00E31A12" w:rsidP="00E31A12">
            <w:pPr>
              <w:pStyle w:val="ListParagraph"/>
              <w:numPr>
                <w:ilvl w:val="0"/>
                <w:numId w:val="29"/>
              </w:numPr>
              <w:ind w:left="357" w:hanging="357"/>
              <w:jc w:val="both"/>
              <w:rPr>
                <w:rFonts w:cs="Arial"/>
                <w:b/>
              </w:rPr>
            </w:pPr>
            <w:r w:rsidRPr="00272CF3">
              <w:rPr>
                <w:rFonts w:cs="Arial"/>
                <w:b/>
              </w:rPr>
              <w:t>Asset Value</w:t>
            </w:r>
          </w:p>
          <w:p w14:paraId="4D68E922" w14:textId="158E26CD" w:rsidR="00E31A12" w:rsidRPr="00272CF3" w:rsidRDefault="00E31A12" w:rsidP="00E31A12">
            <w:pPr>
              <w:pStyle w:val="ListParagraph"/>
              <w:numPr>
                <w:ilvl w:val="0"/>
                <w:numId w:val="23"/>
              </w:numPr>
              <w:spacing w:line="276" w:lineRule="auto"/>
              <w:ind w:left="357" w:hanging="357"/>
              <w:jc w:val="both"/>
              <w:rPr>
                <w:rFonts w:cs="Arial"/>
              </w:rPr>
            </w:pPr>
            <w:r>
              <w:rPr>
                <w:rFonts w:cs="Arial"/>
              </w:rPr>
              <w:t>The investment required to bring the asset to an as new condition is reducing</w:t>
            </w:r>
            <w:r w:rsidRPr="00272CF3">
              <w:rPr>
                <w:rFonts w:cs="Arial"/>
              </w:rPr>
              <w:t>.</w:t>
            </w:r>
          </w:p>
          <w:p w14:paraId="4CC49F5B" w14:textId="77777777" w:rsidR="00E31A12" w:rsidRPr="00272CF3" w:rsidRDefault="00E31A12" w:rsidP="00E31A12">
            <w:pPr>
              <w:pStyle w:val="ListParagraph"/>
              <w:numPr>
                <w:ilvl w:val="0"/>
                <w:numId w:val="23"/>
              </w:numPr>
              <w:spacing w:line="276" w:lineRule="auto"/>
              <w:ind w:left="357" w:hanging="357"/>
              <w:jc w:val="both"/>
              <w:rPr>
                <w:rFonts w:cs="Arial"/>
                <w:color w:val="000000" w:themeColor="text1"/>
              </w:rPr>
            </w:pPr>
            <w:r w:rsidRPr="00272CF3">
              <w:rPr>
                <w:rFonts w:cs="Arial"/>
                <w:color w:val="000000" w:themeColor="text1"/>
              </w:rPr>
              <w:t>High costs in the short term as intervention measures are used to improve asset condition – results in lowest whole life costs.</w:t>
            </w:r>
          </w:p>
          <w:p w14:paraId="2E225661" w14:textId="77777777" w:rsidR="00E31A12" w:rsidRPr="002C25E5" w:rsidRDefault="00E31A12" w:rsidP="00E31A12">
            <w:pPr>
              <w:jc w:val="both"/>
              <w:rPr>
                <w:rFonts w:cs="Arial"/>
              </w:rPr>
            </w:pPr>
          </w:p>
          <w:p w14:paraId="7658856D" w14:textId="77777777" w:rsidR="00E31A12" w:rsidRPr="00272CF3" w:rsidRDefault="00E31A12" w:rsidP="00E31A12">
            <w:pPr>
              <w:pStyle w:val="ListParagraph"/>
              <w:numPr>
                <w:ilvl w:val="0"/>
                <w:numId w:val="29"/>
              </w:numPr>
              <w:ind w:left="357" w:hanging="357"/>
              <w:jc w:val="both"/>
              <w:rPr>
                <w:rFonts w:cs="Arial"/>
                <w:b/>
              </w:rPr>
            </w:pPr>
            <w:r w:rsidRPr="00272CF3">
              <w:rPr>
                <w:rFonts w:cs="Arial"/>
                <w:b/>
              </w:rPr>
              <w:t>Public Perception</w:t>
            </w:r>
          </w:p>
          <w:p w14:paraId="3D039DA9" w14:textId="249FAFA8" w:rsidR="00E31A12" w:rsidRPr="00272CF3" w:rsidRDefault="00E31A12" w:rsidP="00E31A12">
            <w:pPr>
              <w:pStyle w:val="ListParagraph"/>
              <w:numPr>
                <w:ilvl w:val="0"/>
                <w:numId w:val="23"/>
              </w:numPr>
              <w:spacing w:line="276" w:lineRule="auto"/>
              <w:ind w:left="357" w:hanging="357"/>
              <w:jc w:val="both"/>
              <w:rPr>
                <w:rFonts w:cs="Arial"/>
              </w:rPr>
            </w:pPr>
            <w:r w:rsidRPr="00272CF3">
              <w:rPr>
                <w:rFonts w:cs="Arial"/>
              </w:rPr>
              <w:t>Generally public perception of the condition of the strategic and residential road network would be expected to be positive however the response to the few defects remaining will be disproportionate as expectations will steadily increase.</w:t>
            </w:r>
          </w:p>
          <w:p w14:paraId="4EC427FF" w14:textId="77777777" w:rsidR="00E31A12" w:rsidRPr="00272CF3" w:rsidRDefault="00E31A12" w:rsidP="00E31A12">
            <w:pPr>
              <w:pStyle w:val="ListParagraph"/>
              <w:numPr>
                <w:ilvl w:val="0"/>
                <w:numId w:val="23"/>
              </w:numPr>
              <w:spacing w:line="276" w:lineRule="auto"/>
              <w:ind w:left="357" w:hanging="357"/>
              <w:jc w:val="both"/>
              <w:rPr>
                <w:rFonts w:cs="Arial"/>
              </w:rPr>
            </w:pPr>
            <w:r w:rsidRPr="00272CF3">
              <w:rPr>
                <w:rFonts w:cs="Arial"/>
              </w:rPr>
              <w:t xml:space="preserve"> The majority of the asset improvement</w:t>
            </w:r>
            <w:r>
              <w:rPr>
                <w:rFonts w:cs="Arial"/>
              </w:rPr>
              <w:t>s</w:t>
            </w:r>
            <w:r w:rsidRPr="00272CF3">
              <w:rPr>
                <w:rFonts w:cs="Arial"/>
              </w:rPr>
              <w:t xml:space="preserve"> will be less </w:t>
            </w:r>
            <w:proofErr w:type="gramStart"/>
            <w:r w:rsidRPr="00272CF3">
              <w:rPr>
                <w:rFonts w:cs="Arial"/>
              </w:rPr>
              <w:t>visible</w:t>
            </w:r>
            <w:proofErr w:type="gramEnd"/>
            <w:r w:rsidRPr="00272CF3">
              <w:rPr>
                <w:rFonts w:cs="Arial"/>
              </w:rPr>
              <w:t xml:space="preserve"> and the general public and members would not be expected to notice improved drainage, improving lighting column condition or improving brid</w:t>
            </w:r>
            <w:r>
              <w:rPr>
                <w:rFonts w:cs="Arial"/>
              </w:rPr>
              <w:t>g</w:t>
            </w:r>
            <w:r w:rsidRPr="00272CF3">
              <w:rPr>
                <w:rFonts w:cs="Arial"/>
              </w:rPr>
              <w:t>e condition.</w:t>
            </w:r>
          </w:p>
          <w:p w14:paraId="563F460A" w14:textId="77777777" w:rsidR="00E31A12" w:rsidRPr="002C25E5" w:rsidRDefault="00E31A12" w:rsidP="00E31A12">
            <w:pPr>
              <w:jc w:val="both"/>
              <w:rPr>
                <w:rFonts w:cs="Arial"/>
              </w:rPr>
            </w:pPr>
          </w:p>
          <w:p w14:paraId="546ED6C2" w14:textId="77777777" w:rsidR="00E31A12" w:rsidRPr="00272CF3" w:rsidRDefault="00E31A12" w:rsidP="00E31A12">
            <w:pPr>
              <w:pStyle w:val="ListParagraph"/>
              <w:numPr>
                <w:ilvl w:val="0"/>
                <w:numId w:val="29"/>
              </w:numPr>
              <w:ind w:left="357" w:hanging="357"/>
              <w:jc w:val="both"/>
              <w:rPr>
                <w:rFonts w:cs="Arial"/>
                <w:b/>
                <w:color w:val="000000" w:themeColor="text1"/>
              </w:rPr>
            </w:pPr>
            <w:r w:rsidRPr="00272CF3">
              <w:rPr>
                <w:rFonts w:cs="Arial"/>
                <w:b/>
                <w:color w:val="000000" w:themeColor="text1"/>
              </w:rPr>
              <w:t>Service Delivery</w:t>
            </w:r>
          </w:p>
          <w:p w14:paraId="3B31A43F" w14:textId="6BA6836B" w:rsidR="00E31A12" w:rsidRPr="00E30724" w:rsidRDefault="00E31A12" w:rsidP="00E31A12">
            <w:pPr>
              <w:pStyle w:val="ListParagraph"/>
              <w:numPr>
                <w:ilvl w:val="0"/>
                <w:numId w:val="24"/>
              </w:numPr>
              <w:spacing w:line="276" w:lineRule="auto"/>
              <w:ind w:left="357" w:hanging="357"/>
              <w:jc w:val="both"/>
              <w:rPr>
                <w:rFonts w:cs="Arial"/>
                <w:color w:val="000000" w:themeColor="text1"/>
              </w:rPr>
            </w:pPr>
            <w:r w:rsidRPr="00E30724">
              <w:rPr>
                <w:rFonts w:cs="Arial"/>
              </w:rPr>
              <w:t>The principle service delivery is focused on preventative maintenance at the optimal time in an assets lifecycle which will effectively reduce the average cost per scheme, particularly in respect of roads, and in turn fuel more rapidly improving condition.</w:t>
            </w:r>
          </w:p>
          <w:p w14:paraId="7A76E192" w14:textId="77777777" w:rsidR="00E31A12" w:rsidRPr="0096705F" w:rsidRDefault="00E31A12" w:rsidP="00E31A12">
            <w:pPr>
              <w:pStyle w:val="ListParagraph"/>
              <w:numPr>
                <w:ilvl w:val="0"/>
                <w:numId w:val="24"/>
              </w:numPr>
              <w:spacing w:line="276" w:lineRule="auto"/>
              <w:ind w:left="357" w:hanging="357"/>
              <w:jc w:val="both"/>
              <w:rPr>
                <w:rFonts w:cs="Arial"/>
              </w:rPr>
            </w:pPr>
            <w:r w:rsidRPr="00272CF3">
              <w:rPr>
                <w:rFonts w:cs="Arial"/>
                <w:color w:val="000000" w:themeColor="text1"/>
              </w:rPr>
              <w:t>Operating at a sustainable level using sustainable methods.</w:t>
            </w:r>
          </w:p>
          <w:p w14:paraId="39A701B6" w14:textId="77777777" w:rsidR="00E31A12" w:rsidRPr="00272CF3" w:rsidRDefault="00E31A12" w:rsidP="00E31A12">
            <w:pPr>
              <w:spacing w:before="120"/>
              <w:jc w:val="center"/>
              <w:rPr>
                <w:rFonts w:cs="Arial"/>
                <w:b/>
              </w:rPr>
            </w:pPr>
          </w:p>
        </w:tc>
      </w:tr>
      <w:tr w:rsidR="00E31A12" w:rsidRPr="00272CF3" w14:paraId="1547F88F" w14:textId="77777777" w:rsidTr="00E31A12">
        <w:tc>
          <w:tcPr>
            <w:tcW w:w="1857" w:type="dxa"/>
            <w:shd w:val="clear" w:color="auto" w:fill="92D050"/>
          </w:tcPr>
          <w:p w14:paraId="560B8CBB" w14:textId="7A07F1C2" w:rsidR="00E31A12" w:rsidRPr="00272CF3" w:rsidRDefault="00E31A12" w:rsidP="00E31A12">
            <w:pPr>
              <w:jc w:val="both"/>
              <w:rPr>
                <w:rFonts w:cs="Arial"/>
                <w:b/>
              </w:rPr>
            </w:pPr>
            <w:r>
              <w:rPr>
                <w:rFonts w:cs="Arial"/>
                <w:b/>
                <w:color w:val="000000" w:themeColor="text1"/>
              </w:rPr>
              <w:lastRenderedPageBreak/>
              <w:t>G</w:t>
            </w:r>
            <w:r w:rsidRPr="00A15F0B">
              <w:rPr>
                <w:rFonts w:cs="Arial"/>
                <w:b/>
                <w:color w:val="000000" w:themeColor="text1"/>
                <w:shd w:val="clear" w:color="auto" w:fill="92D050"/>
              </w:rPr>
              <w:t>OOD</w:t>
            </w:r>
          </w:p>
        </w:tc>
        <w:tc>
          <w:tcPr>
            <w:tcW w:w="12595" w:type="dxa"/>
          </w:tcPr>
          <w:p w14:paraId="1DD2A261" w14:textId="77777777" w:rsidR="00E31A12" w:rsidRPr="00272CF3" w:rsidRDefault="00E31A12" w:rsidP="00E31A12">
            <w:pPr>
              <w:spacing w:line="276" w:lineRule="auto"/>
              <w:jc w:val="both"/>
              <w:rPr>
                <w:rFonts w:cs="Arial"/>
                <w:b/>
                <w:color w:val="000000" w:themeColor="text1"/>
              </w:rPr>
            </w:pPr>
            <w:r w:rsidRPr="00272CF3">
              <w:rPr>
                <w:rFonts w:cs="Arial"/>
                <w:b/>
                <w:color w:val="000000" w:themeColor="text1"/>
              </w:rPr>
              <w:t>Definition</w:t>
            </w:r>
          </w:p>
          <w:p w14:paraId="34AC234E" w14:textId="77777777" w:rsidR="00E31A12" w:rsidRPr="00272CF3" w:rsidRDefault="00E31A12" w:rsidP="00E31A12">
            <w:pPr>
              <w:spacing w:line="276" w:lineRule="auto"/>
              <w:jc w:val="both"/>
              <w:rPr>
                <w:rFonts w:cs="Arial"/>
              </w:rPr>
            </w:pPr>
            <w:r w:rsidRPr="00272CF3">
              <w:rPr>
                <w:rFonts w:cs="Arial"/>
              </w:rPr>
              <w:t xml:space="preserve">A level of service that </w:t>
            </w:r>
            <w:r>
              <w:rPr>
                <w:rFonts w:cs="Arial"/>
              </w:rPr>
              <w:t xml:space="preserve">is </w:t>
            </w:r>
            <w:r w:rsidRPr="00272CF3">
              <w:rPr>
                <w:rFonts w:cs="Arial"/>
              </w:rPr>
              <w:t xml:space="preserve">above 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w:t>
            </w:r>
          </w:p>
          <w:p w14:paraId="5CEAE053" w14:textId="77777777" w:rsidR="00E31A12" w:rsidRPr="003C14A3" w:rsidRDefault="00E31A12" w:rsidP="00E31A12">
            <w:pPr>
              <w:jc w:val="both"/>
              <w:rPr>
                <w:rFonts w:cs="Arial"/>
              </w:rPr>
            </w:pPr>
          </w:p>
          <w:p w14:paraId="2175FB31"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Legal</w:t>
            </w:r>
          </w:p>
          <w:p w14:paraId="4632473D" w14:textId="1E83383B"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 xml:space="preserve">The authority </w:t>
            </w:r>
            <w:r>
              <w:rPr>
                <w:rFonts w:cs="Arial"/>
              </w:rPr>
              <w:t xml:space="preserve">generally </w:t>
            </w:r>
            <w:r w:rsidRPr="00272CF3">
              <w:rPr>
                <w:rFonts w:cs="Arial"/>
              </w:rPr>
              <w:t>exceeds the requirements of the relevant codes of practice in key respects; any derogation is minor and defensible, documented, and supported by a robust risk assessment.</w:t>
            </w:r>
          </w:p>
          <w:p w14:paraId="11E3D118" w14:textId="77777777"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lastRenderedPageBreak/>
              <w:t xml:space="preserve">We know what is required and how we deliver the </w:t>
            </w:r>
            <w:proofErr w:type="gramStart"/>
            <w:r w:rsidRPr="00272CF3">
              <w:rPr>
                <w:rFonts w:cs="Arial"/>
              </w:rPr>
              <w:t>requirements;</w:t>
            </w:r>
            <w:proofErr w:type="gramEnd"/>
          </w:p>
          <w:p w14:paraId="6BD948B4" w14:textId="77777777"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 xml:space="preserve">We </w:t>
            </w:r>
            <w:proofErr w:type="gramStart"/>
            <w:r w:rsidRPr="00272CF3">
              <w:rPr>
                <w:rFonts w:cs="Arial"/>
              </w:rPr>
              <w:t xml:space="preserve">are </w:t>
            </w:r>
            <w:r>
              <w:rPr>
                <w:rFonts w:cs="Arial"/>
              </w:rPr>
              <w:t xml:space="preserve">able </w:t>
            </w:r>
            <w:r w:rsidRPr="00272CF3">
              <w:rPr>
                <w:rFonts w:cs="Arial"/>
              </w:rPr>
              <w:t>to</w:t>
            </w:r>
            <w:proofErr w:type="gramEnd"/>
            <w:r w:rsidRPr="00272CF3">
              <w:rPr>
                <w:rFonts w:cs="Arial"/>
              </w:rPr>
              <w:t xml:space="preserve"> defend legal claims robustly and develop a strong due diligence defence.</w:t>
            </w:r>
          </w:p>
          <w:p w14:paraId="09C70A12" w14:textId="77777777" w:rsidR="00E31A12" w:rsidRPr="003C14A3" w:rsidRDefault="00E31A12" w:rsidP="00E31A12">
            <w:pPr>
              <w:jc w:val="both"/>
              <w:rPr>
                <w:rFonts w:cs="Arial"/>
              </w:rPr>
            </w:pPr>
          </w:p>
          <w:p w14:paraId="33D9FE93"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Safety</w:t>
            </w:r>
          </w:p>
          <w:p w14:paraId="4D08236B" w14:textId="42314992"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Safety defects are well defined with performance standards for rectification of those defects.</w:t>
            </w:r>
          </w:p>
          <w:p w14:paraId="4C43ADCA" w14:textId="2C76FD5B"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14:paraId="5B6F0A21" w14:textId="6EE8C476"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 xml:space="preserve">We have supporting information </w:t>
            </w:r>
            <w:r w:rsidRPr="00F04ADE">
              <w:rPr>
                <w:rFonts w:cs="Arial"/>
                <w:color w:val="000000" w:themeColor="text1"/>
              </w:rPr>
              <w:t>to ensure</w:t>
            </w:r>
            <w:r w:rsidRPr="00272CF3">
              <w:rPr>
                <w:rFonts w:cs="Arial"/>
              </w:rPr>
              <w:t xml:space="preserve"> our delivery to required performance standards.</w:t>
            </w:r>
          </w:p>
          <w:p w14:paraId="4DE47578" w14:textId="77777777" w:rsidR="00E31A12" w:rsidRPr="00272CF3" w:rsidRDefault="00E31A12" w:rsidP="00E31A12">
            <w:pPr>
              <w:pStyle w:val="ListParagraph"/>
              <w:numPr>
                <w:ilvl w:val="0"/>
                <w:numId w:val="1"/>
              </w:numPr>
              <w:spacing w:line="276" w:lineRule="auto"/>
              <w:ind w:left="357" w:hanging="357"/>
              <w:jc w:val="both"/>
              <w:rPr>
                <w:rFonts w:cs="Arial"/>
                <w:color w:val="000000" w:themeColor="text1"/>
              </w:rPr>
            </w:pPr>
            <w:r w:rsidRPr="00272CF3">
              <w:rPr>
                <w:rFonts w:cs="Arial"/>
                <w:color w:val="000000" w:themeColor="text1"/>
              </w:rPr>
              <w:t xml:space="preserve">Should see a reduction in numbers of </w:t>
            </w:r>
            <w:proofErr w:type="gramStart"/>
            <w:r w:rsidRPr="00272CF3">
              <w:rPr>
                <w:rFonts w:cs="Arial"/>
                <w:color w:val="000000" w:themeColor="text1"/>
              </w:rPr>
              <w:t>third party</w:t>
            </w:r>
            <w:proofErr w:type="gramEnd"/>
            <w:r w:rsidRPr="00272CF3">
              <w:rPr>
                <w:rFonts w:cs="Arial"/>
                <w:color w:val="000000" w:themeColor="text1"/>
              </w:rPr>
              <w:t xml:space="preserve"> claims against LCC for personal injury and third part</w:t>
            </w:r>
            <w:r>
              <w:rPr>
                <w:rFonts w:cs="Arial"/>
                <w:color w:val="000000" w:themeColor="text1"/>
              </w:rPr>
              <w:t>y</w:t>
            </w:r>
            <w:r w:rsidRPr="00272CF3">
              <w:rPr>
                <w:rFonts w:cs="Arial"/>
                <w:color w:val="000000" w:themeColor="text1"/>
              </w:rPr>
              <w:t xml:space="preserve"> damage.</w:t>
            </w:r>
          </w:p>
          <w:p w14:paraId="507B627F" w14:textId="77777777" w:rsidR="00E31A12" w:rsidRPr="003C14A3" w:rsidRDefault="00E31A12" w:rsidP="00E31A12">
            <w:pPr>
              <w:jc w:val="both"/>
              <w:rPr>
                <w:rFonts w:cs="Arial"/>
              </w:rPr>
            </w:pPr>
          </w:p>
          <w:p w14:paraId="287E7D2D"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Availability</w:t>
            </w:r>
          </w:p>
          <w:p w14:paraId="1794F56D" w14:textId="77777777" w:rsidR="00E31A12" w:rsidRPr="00272CF3" w:rsidRDefault="00E31A12" w:rsidP="00E31A12">
            <w:pPr>
              <w:pStyle w:val="ListParagraph"/>
              <w:numPr>
                <w:ilvl w:val="0"/>
                <w:numId w:val="20"/>
              </w:numPr>
              <w:spacing w:line="276" w:lineRule="auto"/>
              <w:ind w:left="357" w:hanging="357"/>
              <w:jc w:val="both"/>
              <w:rPr>
                <w:rFonts w:cs="Arial"/>
              </w:rPr>
            </w:pPr>
            <w:proofErr w:type="gramStart"/>
            <w:r w:rsidRPr="00272CF3">
              <w:rPr>
                <w:rFonts w:cs="Arial"/>
              </w:rPr>
              <w:t>The vast majority of</w:t>
            </w:r>
            <w:proofErr w:type="gramEnd"/>
            <w:r w:rsidRPr="00272CF3">
              <w:rPr>
                <w:rFonts w:cs="Arial"/>
              </w:rPr>
              <w:t xml:space="preserve"> the asset is available for normal reasonable use.</w:t>
            </w:r>
          </w:p>
          <w:p w14:paraId="4898146A" w14:textId="77777777" w:rsidR="00E31A12" w:rsidRPr="002C25E5" w:rsidRDefault="00E31A12" w:rsidP="00E31A12">
            <w:pPr>
              <w:jc w:val="both"/>
              <w:rPr>
                <w:rFonts w:cs="Arial"/>
              </w:rPr>
            </w:pPr>
          </w:p>
          <w:p w14:paraId="0D53FABB"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Condition</w:t>
            </w:r>
          </w:p>
          <w:p w14:paraId="69C691B3" w14:textId="150432BC"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The condition of the asset has been stabilised, but significant improvements will take time It is assumed that the rate of deterioration is minimal.</w:t>
            </w:r>
          </w:p>
          <w:p w14:paraId="01D081F5" w14:textId="77777777" w:rsidR="00E31A12" w:rsidRPr="002C25E5" w:rsidRDefault="00E31A12" w:rsidP="00E31A12">
            <w:pPr>
              <w:jc w:val="both"/>
              <w:rPr>
                <w:rFonts w:cs="Arial"/>
              </w:rPr>
            </w:pPr>
          </w:p>
          <w:p w14:paraId="37164622"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Asset Value</w:t>
            </w:r>
          </w:p>
          <w:p w14:paraId="6C8D4DAF" w14:textId="7446C096"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The asset value is maintained as far as is reasonably practical.</w:t>
            </w:r>
          </w:p>
          <w:p w14:paraId="03EA206C" w14:textId="77777777" w:rsidR="00E31A12" w:rsidRPr="00272CF3" w:rsidRDefault="00E31A12" w:rsidP="00E31A12">
            <w:pPr>
              <w:pStyle w:val="ListParagraph"/>
              <w:numPr>
                <w:ilvl w:val="0"/>
                <w:numId w:val="20"/>
              </w:numPr>
              <w:spacing w:line="276" w:lineRule="auto"/>
              <w:ind w:left="357" w:hanging="357"/>
              <w:jc w:val="both"/>
              <w:rPr>
                <w:rFonts w:cs="Arial"/>
                <w:color w:val="000000" w:themeColor="text1"/>
              </w:rPr>
            </w:pPr>
            <w:r w:rsidRPr="00272CF3">
              <w:rPr>
                <w:rFonts w:cs="Arial"/>
                <w:color w:val="000000" w:themeColor="text1"/>
              </w:rPr>
              <w:t>Relatively high costs in the short term as intervention measures are used to improve asset condition – results in lower whole life costs.</w:t>
            </w:r>
          </w:p>
          <w:p w14:paraId="47EA8DCD" w14:textId="77777777" w:rsidR="00E31A12" w:rsidRPr="002C25E5" w:rsidRDefault="00E31A12" w:rsidP="00E31A12">
            <w:pPr>
              <w:jc w:val="both"/>
              <w:rPr>
                <w:rFonts w:cs="Arial"/>
              </w:rPr>
            </w:pPr>
          </w:p>
          <w:p w14:paraId="0C4EBEA7"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Public Perception</w:t>
            </w:r>
          </w:p>
          <w:p w14:paraId="43F4C397" w14:textId="77777777" w:rsidR="00E31A12" w:rsidRPr="00272CF3" w:rsidRDefault="00E31A12" w:rsidP="00E31A12">
            <w:pPr>
              <w:pStyle w:val="ListParagraph"/>
              <w:numPr>
                <w:ilvl w:val="0"/>
                <w:numId w:val="20"/>
              </w:numPr>
              <w:spacing w:line="276" w:lineRule="auto"/>
              <w:ind w:left="357" w:hanging="357"/>
              <w:jc w:val="both"/>
              <w:rPr>
                <w:rFonts w:cs="Arial"/>
              </w:rPr>
            </w:pPr>
            <w:r w:rsidRPr="00272CF3">
              <w:rPr>
                <w:rFonts w:cs="Arial"/>
              </w:rPr>
              <w:t>It is likely that public perception is still focused on the defects present and that it will take significant time before any improvement in perception of the asset is noted.</w:t>
            </w:r>
          </w:p>
          <w:p w14:paraId="2000572B" w14:textId="77777777" w:rsidR="00E31A12" w:rsidRDefault="00E31A12" w:rsidP="00E31A12">
            <w:pPr>
              <w:jc w:val="both"/>
              <w:rPr>
                <w:rFonts w:cs="Arial"/>
              </w:rPr>
            </w:pPr>
          </w:p>
          <w:p w14:paraId="481CC1E5" w14:textId="77777777" w:rsidR="00E31A12" w:rsidRPr="00272CF3" w:rsidRDefault="00E31A12" w:rsidP="00E31A12">
            <w:pPr>
              <w:pStyle w:val="ListParagraph"/>
              <w:numPr>
                <w:ilvl w:val="0"/>
                <w:numId w:val="28"/>
              </w:numPr>
              <w:ind w:left="357" w:hanging="357"/>
              <w:jc w:val="both"/>
              <w:rPr>
                <w:rFonts w:cs="Arial"/>
                <w:b/>
              </w:rPr>
            </w:pPr>
            <w:r w:rsidRPr="00272CF3">
              <w:rPr>
                <w:rFonts w:cs="Arial"/>
                <w:b/>
              </w:rPr>
              <w:t>Service Delivery</w:t>
            </w:r>
          </w:p>
          <w:p w14:paraId="12474DA7" w14:textId="00EF81CD" w:rsidR="00E31A12" w:rsidRPr="00272CF3" w:rsidRDefault="00E31A12" w:rsidP="00E31A12">
            <w:pPr>
              <w:pStyle w:val="ListParagraph"/>
              <w:numPr>
                <w:ilvl w:val="0"/>
                <w:numId w:val="20"/>
              </w:numPr>
              <w:spacing w:line="276" w:lineRule="auto"/>
              <w:ind w:left="357" w:hanging="357"/>
              <w:jc w:val="both"/>
              <w:rPr>
                <w:rFonts w:cs="Arial"/>
                <w:b/>
                <w:color w:val="000000" w:themeColor="text1"/>
              </w:rPr>
            </w:pPr>
            <w:r w:rsidRPr="00272CF3">
              <w:rPr>
                <w:rFonts w:cs="Arial"/>
              </w:rPr>
              <w:t>A mixture of p</w:t>
            </w:r>
            <w:r>
              <w:rPr>
                <w:rFonts w:cs="Arial"/>
              </w:rPr>
              <w:t>reventative</w:t>
            </w:r>
            <w:r w:rsidRPr="00272CF3">
              <w:rPr>
                <w:rFonts w:cs="Arial"/>
              </w:rPr>
              <w:t xml:space="preserve"> and reactive service delivery models will be used as the backlog of maintenance issues will only be reduced slowly if at all.</w:t>
            </w:r>
          </w:p>
          <w:p w14:paraId="17CB62F7" w14:textId="365814F3" w:rsidR="00E31A12" w:rsidRPr="00E31A12" w:rsidRDefault="00E31A12" w:rsidP="00D27640">
            <w:pPr>
              <w:pStyle w:val="ListParagraph"/>
              <w:numPr>
                <w:ilvl w:val="0"/>
                <w:numId w:val="4"/>
              </w:numPr>
              <w:spacing w:line="276" w:lineRule="auto"/>
              <w:ind w:left="397" w:hanging="357"/>
              <w:jc w:val="both"/>
              <w:rPr>
                <w:rFonts w:cs="Arial"/>
                <w:color w:val="000000" w:themeColor="text1"/>
              </w:rPr>
            </w:pPr>
            <w:r w:rsidRPr="00E31A12">
              <w:rPr>
                <w:rFonts w:cs="Arial"/>
                <w:color w:val="000000" w:themeColor="text1"/>
              </w:rPr>
              <w:lastRenderedPageBreak/>
              <w:t>Increased capital budget enables preventative maintenance to be carried out.  Such works are directed at intervening at the right point to restore the asset to an appropriate condition at minimum cost.</w:t>
            </w:r>
          </w:p>
          <w:p w14:paraId="1422C764" w14:textId="77777777" w:rsidR="00E31A12" w:rsidRPr="00272CF3" w:rsidRDefault="00E31A12" w:rsidP="00E31A12">
            <w:pPr>
              <w:spacing w:before="120"/>
              <w:jc w:val="center"/>
              <w:rPr>
                <w:rFonts w:cs="Arial"/>
                <w:b/>
              </w:rPr>
            </w:pPr>
          </w:p>
        </w:tc>
      </w:tr>
      <w:tr w:rsidR="00E31A12" w:rsidRPr="00272CF3" w14:paraId="37369699" w14:textId="77777777" w:rsidTr="00E31A12">
        <w:tc>
          <w:tcPr>
            <w:tcW w:w="1857" w:type="dxa"/>
            <w:shd w:val="clear" w:color="auto" w:fill="FFFF00"/>
          </w:tcPr>
          <w:p w14:paraId="795EAB8A" w14:textId="34B380E6" w:rsidR="00E31A12" w:rsidRPr="00272CF3" w:rsidRDefault="00E31A12" w:rsidP="00E31A12">
            <w:pPr>
              <w:jc w:val="both"/>
              <w:rPr>
                <w:rFonts w:cs="Arial"/>
                <w:b/>
              </w:rPr>
            </w:pPr>
            <w:r>
              <w:rPr>
                <w:rFonts w:cs="Arial"/>
                <w:b/>
                <w:color w:val="000000" w:themeColor="text1"/>
              </w:rPr>
              <w:lastRenderedPageBreak/>
              <w:t>FAIR</w:t>
            </w:r>
          </w:p>
        </w:tc>
        <w:tc>
          <w:tcPr>
            <w:tcW w:w="12595" w:type="dxa"/>
          </w:tcPr>
          <w:p w14:paraId="6564BDD6" w14:textId="77777777" w:rsidR="00E31A12" w:rsidRPr="00272CF3" w:rsidRDefault="00E31A12" w:rsidP="00E31A12">
            <w:pPr>
              <w:spacing w:line="276" w:lineRule="auto"/>
              <w:jc w:val="both"/>
              <w:rPr>
                <w:rFonts w:cs="Arial"/>
                <w:b/>
                <w:color w:val="000000" w:themeColor="text1"/>
              </w:rPr>
            </w:pPr>
            <w:r w:rsidRPr="00272CF3">
              <w:rPr>
                <w:rFonts w:cs="Arial"/>
                <w:b/>
                <w:color w:val="000000" w:themeColor="text1"/>
              </w:rPr>
              <w:t>Definition</w:t>
            </w:r>
          </w:p>
          <w:p w14:paraId="64D3A31E" w14:textId="77777777" w:rsidR="00E31A12" w:rsidRPr="00272CF3" w:rsidRDefault="00E31A12" w:rsidP="00E31A12">
            <w:pPr>
              <w:spacing w:line="276" w:lineRule="auto"/>
              <w:jc w:val="both"/>
              <w:rPr>
                <w:rFonts w:cs="Arial"/>
              </w:rPr>
            </w:pPr>
            <w:r w:rsidRPr="00272CF3">
              <w:rPr>
                <w:rFonts w:cs="Arial"/>
              </w:rPr>
              <w:t xml:space="preserve">A level of service that </w:t>
            </w:r>
            <w:r>
              <w:rPr>
                <w:rFonts w:cs="Arial"/>
              </w:rPr>
              <w:t xml:space="preserve">generally meets </w:t>
            </w:r>
            <w:r w:rsidRPr="00272CF3">
              <w:rPr>
                <w:rFonts w:cs="Arial"/>
              </w:rPr>
              <w:t xml:space="preserve">statutory needs and the requirements detailed in national </w:t>
            </w:r>
            <w:r>
              <w:rPr>
                <w:rFonts w:cs="Arial"/>
              </w:rPr>
              <w:t>c</w:t>
            </w:r>
            <w:r w:rsidRPr="00272CF3">
              <w:rPr>
                <w:rFonts w:cs="Arial"/>
              </w:rPr>
              <w:t xml:space="preserve">odes of </w:t>
            </w:r>
            <w:r>
              <w:rPr>
                <w:rFonts w:cs="Arial"/>
              </w:rPr>
              <w:t>p</w:t>
            </w:r>
            <w:r w:rsidRPr="00272CF3">
              <w:rPr>
                <w:rFonts w:cs="Arial"/>
              </w:rPr>
              <w:t>ractice</w:t>
            </w:r>
            <w:r w:rsidRPr="00272CF3">
              <w:rPr>
                <w:rFonts w:cs="Arial"/>
                <w:color w:val="000000" w:themeColor="text1"/>
              </w:rPr>
              <w:t xml:space="preserve">.  </w:t>
            </w:r>
            <w:r w:rsidRPr="00272CF3">
              <w:rPr>
                <w:rFonts w:cs="Arial"/>
              </w:rPr>
              <w:t>The risks and consequence</w:t>
            </w:r>
            <w:r>
              <w:rPr>
                <w:rFonts w:cs="Arial"/>
              </w:rPr>
              <w:t>s</w:t>
            </w:r>
            <w:r w:rsidRPr="00272CF3">
              <w:rPr>
                <w:rFonts w:cs="Arial"/>
              </w:rPr>
              <w:t xml:space="preserve"> associated with providing this service level are summarised below</w:t>
            </w:r>
            <w:r>
              <w:rPr>
                <w:rFonts w:cs="Arial"/>
              </w:rPr>
              <w:t xml:space="preserve">: </w:t>
            </w:r>
          </w:p>
          <w:p w14:paraId="262590B7" w14:textId="77777777" w:rsidR="00E31A12" w:rsidRPr="00272CF3" w:rsidRDefault="00E31A12" w:rsidP="00E31A12">
            <w:pPr>
              <w:jc w:val="both"/>
              <w:rPr>
                <w:rFonts w:cs="Arial"/>
                <w:color w:val="000000" w:themeColor="text1"/>
              </w:rPr>
            </w:pPr>
          </w:p>
          <w:p w14:paraId="0A2D75A8"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Legal</w:t>
            </w:r>
          </w:p>
          <w:p w14:paraId="0D0751DA" w14:textId="363425B5" w:rsidR="00E31A12" w:rsidRPr="00272CF3" w:rsidRDefault="00E31A12" w:rsidP="00E31A12">
            <w:pPr>
              <w:pStyle w:val="ListParagraph"/>
              <w:numPr>
                <w:ilvl w:val="0"/>
                <w:numId w:val="16"/>
              </w:numPr>
              <w:spacing w:line="276" w:lineRule="auto"/>
              <w:ind w:left="357" w:hanging="357"/>
              <w:jc w:val="both"/>
              <w:rPr>
                <w:rFonts w:cs="Arial"/>
              </w:rPr>
            </w:pPr>
            <w:r w:rsidRPr="00272CF3">
              <w:rPr>
                <w:rFonts w:cs="Arial"/>
              </w:rPr>
              <w:t>The authority complies with the requirements of the relevant codes of practice in all respects and a robust risk assessment exists</w:t>
            </w:r>
            <w:r>
              <w:rPr>
                <w:rFonts w:cs="Arial"/>
              </w:rPr>
              <w:t>, except where it chooses not to carry one out.  In all such instances any derogation is documented and supported by a robust risk assessment.</w:t>
            </w:r>
          </w:p>
          <w:p w14:paraId="6CDBC4ED" w14:textId="32B75BE9" w:rsidR="00E31A12" w:rsidRPr="00272CF3" w:rsidRDefault="00E31A12" w:rsidP="00E31A12">
            <w:pPr>
              <w:pStyle w:val="ListParagraph"/>
              <w:numPr>
                <w:ilvl w:val="0"/>
                <w:numId w:val="16"/>
              </w:numPr>
              <w:spacing w:line="276" w:lineRule="auto"/>
              <w:ind w:left="357" w:hanging="357"/>
              <w:jc w:val="both"/>
              <w:rPr>
                <w:rFonts w:cs="Arial"/>
              </w:rPr>
            </w:pPr>
            <w:r w:rsidRPr="00272CF3">
              <w:rPr>
                <w:rFonts w:cs="Arial"/>
              </w:rPr>
              <w:t>We know what is required and how we deliver the requirements.</w:t>
            </w:r>
          </w:p>
          <w:p w14:paraId="461EA2CC" w14:textId="3F4DBBF5" w:rsidR="00E31A12" w:rsidRPr="00272CF3" w:rsidRDefault="00E31A12" w:rsidP="00E31A12">
            <w:pPr>
              <w:pStyle w:val="ListParagraph"/>
              <w:numPr>
                <w:ilvl w:val="0"/>
                <w:numId w:val="16"/>
              </w:numPr>
              <w:spacing w:line="276" w:lineRule="auto"/>
              <w:ind w:left="357" w:hanging="357"/>
              <w:jc w:val="both"/>
              <w:rPr>
                <w:rFonts w:cs="Arial"/>
              </w:rPr>
            </w:pPr>
            <w:r w:rsidRPr="00272CF3">
              <w:rPr>
                <w:rFonts w:cs="Arial"/>
              </w:rPr>
              <w:t xml:space="preserve">The legal exposure of the authority is reasonably </w:t>
            </w:r>
            <w:proofErr w:type="gramStart"/>
            <w:r w:rsidRPr="00272CF3">
              <w:rPr>
                <w:rFonts w:cs="Arial"/>
              </w:rPr>
              <w:t>controlled</w:t>
            </w:r>
            <w:proofErr w:type="gramEnd"/>
            <w:r w:rsidRPr="00272CF3">
              <w:rPr>
                <w:rFonts w:cs="Arial"/>
              </w:rPr>
              <w:t xml:space="preserve"> and robust systems are in place to provide supporting evidence of compliance with the code of practice.</w:t>
            </w:r>
          </w:p>
          <w:p w14:paraId="205838C3" w14:textId="77777777" w:rsidR="00E31A12" w:rsidRPr="00272CF3" w:rsidRDefault="00E31A12" w:rsidP="00E31A12">
            <w:pPr>
              <w:jc w:val="both"/>
              <w:rPr>
                <w:rFonts w:cs="Arial"/>
              </w:rPr>
            </w:pPr>
          </w:p>
          <w:p w14:paraId="738663B5"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Safety</w:t>
            </w:r>
          </w:p>
          <w:p w14:paraId="05AC12EA" w14:textId="72384390" w:rsidR="00E31A12" w:rsidRPr="00272CF3" w:rsidRDefault="00E31A12" w:rsidP="00E31A12">
            <w:pPr>
              <w:pStyle w:val="ListParagraph"/>
              <w:numPr>
                <w:ilvl w:val="0"/>
                <w:numId w:val="17"/>
              </w:numPr>
              <w:spacing w:line="276" w:lineRule="auto"/>
              <w:ind w:left="357" w:hanging="357"/>
              <w:jc w:val="both"/>
              <w:rPr>
                <w:rFonts w:cs="Arial"/>
              </w:rPr>
            </w:pPr>
            <w:r w:rsidRPr="00272CF3">
              <w:rPr>
                <w:rFonts w:cs="Arial"/>
              </w:rPr>
              <w:t>Safety defects are well defined with performance standards for rectification of those defects.</w:t>
            </w:r>
          </w:p>
          <w:p w14:paraId="355E4DBC" w14:textId="2AC97282" w:rsidR="00E31A12" w:rsidRPr="00272CF3" w:rsidRDefault="00E31A12" w:rsidP="00E31A12">
            <w:pPr>
              <w:pStyle w:val="ListParagraph"/>
              <w:numPr>
                <w:ilvl w:val="0"/>
                <w:numId w:val="17"/>
              </w:numPr>
              <w:spacing w:line="276" w:lineRule="auto"/>
              <w:ind w:left="357" w:hanging="357"/>
              <w:jc w:val="both"/>
              <w:rPr>
                <w:rFonts w:cs="Arial"/>
              </w:rPr>
            </w:pPr>
            <w:r w:rsidRPr="00272CF3">
              <w:rPr>
                <w:rFonts w:cs="Arial"/>
              </w:rPr>
              <w:t>Systems are in place to ensure proper assessment prioritisation and rectification of defects or temporary arrangements to mitigate risk until a permanent repair is possible.</w:t>
            </w:r>
          </w:p>
          <w:p w14:paraId="7DD8FE02" w14:textId="4B2CB138" w:rsidR="00E31A12" w:rsidRPr="00272CF3" w:rsidRDefault="00E31A12" w:rsidP="00E31A12">
            <w:pPr>
              <w:pStyle w:val="ListParagraph"/>
              <w:numPr>
                <w:ilvl w:val="0"/>
                <w:numId w:val="17"/>
              </w:numPr>
              <w:spacing w:line="276" w:lineRule="auto"/>
              <w:ind w:left="357" w:hanging="357"/>
              <w:jc w:val="both"/>
              <w:rPr>
                <w:rFonts w:cs="Arial"/>
              </w:rPr>
            </w:pPr>
            <w:r w:rsidRPr="00272CF3">
              <w:rPr>
                <w:rFonts w:cs="Arial"/>
              </w:rPr>
              <w:t>We have relevant information to support our delivery to required performance standards. We are proactive in the identification and rectification of those defects.</w:t>
            </w:r>
          </w:p>
          <w:p w14:paraId="08959555" w14:textId="77777777" w:rsidR="00E31A12" w:rsidRPr="00272CF3" w:rsidRDefault="00E31A12" w:rsidP="00E31A12">
            <w:pPr>
              <w:pStyle w:val="ListParagraph"/>
              <w:numPr>
                <w:ilvl w:val="0"/>
                <w:numId w:val="17"/>
              </w:numPr>
              <w:spacing w:line="276" w:lineRule="auto"/>
              <w:ind w:left="357" w:hanging="357"/>
              <w:jc w:val="both"/>
              <w:rPr>
                <w:rFonts w:cs="Arial"/>
              </w:rPr>
            </w:pPr>
            <w:r w:rsidRPr="00272CF3">
              <w:rPr>
                <w:rFonts w:cs="Arial"/>
              </w:rPr>
              <w:t xml:space="preserve">In all cases </w:t>
            </w:r>
            <w:r w:rsidRPr="00272CF3">
              <w:rPr>
                <w:rFonts w:cs="Arial"/>
                <w:b/>
              </w:rPr>
              <w:t>except</w:t>
            </w:r>
            <w:r w:rsidRPr="00272CF3">
              <w:rPr>
                <w:rFonts w:cs="Arial"/>
              </w:rPr>
              <w:t xml:space="preserve"> where the asset condition was formerly </w:t>
            </w:r>
            <w:r>
              <w:rPr>
                <w:rFonts w:cs="Arial"/>
              </w:rPr>
              <w:t>GOOD</w:t>
            </w:r>
            <w:r w:rsidRPr="00272CF3">
              <w:rPr>
                <w:rFonts w:cs="Arial"/>
              </w:rPr>
              <w:t xml:space="preserve"> or </w:t>
            </w:r>
            <w:r>
              <w:rPr>
                <w:rFonts w:cs="Arial"/>
              </w:rPr>
              <w:t xml:space="preserve">EXCELLENT </w:t>
            </w:r>
            <w:r w:rsidRPr="00272CF3">
              <w:rPr>
                <w:rFonts w:cs="Arial"/>
              </w:rPr>
              <w:t xml:space="preserve">it is </w:t>
            </w:r>
            <w:r w:rsidRPr="00F04ADE">
              <w:rPr>
                <w:rFonts w:cs="Arial"/>
                <w:color w:val="000000" w:themeColor="text1"/>
              </w:rPr>
              <w:t>un</w:t>
            </w:r>
            <w:r w:rsidRPr="00272CF3">
              <w:rPr>
                <w:rFonts w:cs="Arial"/>
              </w:rPr>
              <w:t>likely to result in an increase in the risks associated with safety or legal deficits.</w:t>
            </w:r>
          </w:p>
          <w:p w14:paraId="1302FCAA" w14:textId="77777777" w:rsidR="00E31A12" w:rsidRPr="00272CF3" w:rsidRDefault="00E31A12" w:rsidP="00E31A12">
            <w:pPr>
              <w:jc w:val="both"/>
              <w:rPr>
                <w:rFonts w:cs="Arial"/>
              </w:rPr>
            </w:pPr>
          </w:p>
          <w:p w14:paraId="0F20BC1E"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Availability</w:t>
            </w:r>
          </w:p>
          <w:p w14:paraId="75DD7AC6" w14:textId="212587D5" w:rsidR="00E31A12" w:rsidRPr="00272CF3" w:rsidRDefault="00E31A12" w:rsidP="00E31A12">
            <w:pPr>
              <w:pStyle w:val="ListParagraph"/>
              <w:numPr>
                <w:ilvl w:val="0"/>
                <w:numId w:val="18"/>
              </w:numPr>
              <w:spacing w:line="276" w:lineRule="auto"/>
              <w:ind w:left="357" w:hanging="357"/>
              <w:jc w:val="both"/>
              <w:rPr>
                <w:rFonts w:cs="Arial"/>
              </w:rPr>
            </w:pPr>
            <w:proofErr w:type="gramStart"/>
            <w:r w:rsidRPr="00272CF3">
              <w:rPr>
                <w:rFonts w:cs="Arial"/>
              </w:rPr>
              <w:t>The majority of</w:t>
            </w:r>
            <w:proofErr w:type="gramEnd"/>
            <w:r w:rsidRPr="00272CF3">
              <w:rPr>
                <w:rFonts w:cs="Arial"/>
              </w:rPr>
              <w:t xml:space="preserve"> the asset is available for normal reasonable use.</w:t>
            </w:r>
          </w:p>
          <w:p w14:paraId="4CBC00C1" w14:textId="77777777" w:rsidR="00E31A12" w:rsidRPr="00272CF3" w:rsidRDefault="00E31A12" w:rsidP="00E31A12">
            <w:pPr>
              <w:pStyle w:val="ListParagraph"/>
              <w:numPr>
                <w:ilvl w:val="0"/>
                <w:numId w:val="18"/>
              </w:numPr>
              <w:spacing w:line="276" w:lineRule="auto"/>
              <w:ind w:left="357" w:hanging="357"/>
              <w:jc w:val="both"/>
              <w:rPr>
                <w:rFonts w:cs="Arial"/>
              </w:rPr>
            </w:pPr>
            <w:r w:rsidRPr="00272CF3">
              <w:rPr>
                <w:rFonts w:cs="Arial"/>
              </w:rPr>
              <w:t xml:space="preserve">Restrictions of the asset are largely planned maintenance </w:t>
            </w:r>
            <w:r>
              <w:rPr>
                <w:rFonts w:cs="Arial"/>
              </w:rPr>
              <w:t xml:space="preserve">activities </w:t>
            </w:r>
            <w:r w:rsidRPr="00272CF3">
              <w:rPr>
                <w:rFonts w:cs="Arial"/>
              </w:rPr>
              <w:t>rather than emergency repairs with the exception of emergency utility repairs.</w:t>
            </w:r>
          </w:p>
          <w:p w14:paraId="6375CBA5" w14:textId="77777777" w:rsidR="00E31A12" w:rsidRPr="003C14A3" w:rsidRDefault="00E31A12" w:rsidP="00E31A12">
            <w:pPr>
              <w:jc w:val="both"/>
              <w:rPr>
                <w:rFonts w:cs="Arial"/>
              </w:rPr>
            </w:pPr>
          </w:p>
          <w:p w14:paraId="3912697C"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Condition</w:t>
            </w:r>
          </w:p>
          <w:p w14:paraId="12658D25" w14:textId="128253FC" w:rsidR="00E31A12" w:rsidRPr="00272CF3" w:rsidRDefault="00E31A12" w:rsidP="00E31A12">
            <w:pPr>
              <w:pStyle w:val="ListParagraph"/>
              <w:numPr>
                <w:ilvl w:val="0"/>
                <w:numId w:val="18"/>
              </w:numPr>
              <w:spacing w:line="276" w:lineRule="auto"/>
              <w:ind w:left="357" w:hanging="357"/>
              <w:jc w:val="both"/>
              <w:rPr>
                <w:rFonts w:cs="Arial"/>
              </w:rPr>
            </w:pPr>
            <w:r w:rsidRPr="00272CF3">
              <w:rPr>
                <w:rFonts w:cs="Arial"/>
              </w:rPr>
              <w:t>The condition of the asset is stabilised or with minor deterioration.</w:t>
            </w:r>
          </w:p>
          <w:p w14:paraId="5CE488C6" w14:textId="77777777" w:rsidR="00E31A12" w:rsidRPr="00272CF3" w:rsidRDefault="00E31A12" w:rsidP="00E31A12">
            <w:pPr>
              <w:pStyle w:val="ListParagraph"/>
              <w:numPr>
                <w:ilvl w:val="0"/>
                <w:numId w:val="18"/>
              </w:numPr>
              <w:spacing w:line="276" w:lineRule="auto"/>
              <w:ind w:left="357" w:hanging="357"/>
              <w:jc w:val="both"/>
              <w:rPr>
                <w:rFonts w:cs="Arial"/>
              </w:rPr>
            </w:pPr>
            <w:r w:rsidRPr="00272CF3">
              <w:rPr>
                <w:rFonts w:cs="Arial"/>
              </w:rPr>
              <w:t xml:space="preserve">It is assumed that the rate of deterioration </w:t>
            </w:r>
            <w:r>
              <w:rPr>
                <w:rFonts w:cs="Arial"/>
              </w:rPr>
              <w:t xml:space="preserve">is </w:t>
            </w:r>
            <w:r w:rsidRPr="00272CF3">
              <w:rPr>
                <w:rFonts w:cs="Arial"/>
              </w:rPr>
              <w:t>under 10%.</w:t>
            </w:r>
          </w:p>
          <w:p w14:paraId="466006F2" w14:textId="77777777" w:rsidR="00E31A12" w:rsidRPr="003C14A3" w:rsidRDefault="00E31A12" w:rsidP="00E31A12">
            <w:pPr>
              <w:jc w:val="both"/>
              <w:rPr>
                <w:rFonts w:cs="Arial"/>
              </w:rPr>
            </w:pPr>
          </w:p>
          <w:p w14:paraId="6CF744C8"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Asset Value</w:t>
            </w:r>
          </w:p>
          <w:p w14:paraId="6516A8CF" w14:textId="77777777" w:rsidR="00E31A12" w:rsidRPr="00272CF3" w:rsidRDefault="00E31A12" w:rsidP="00E31A12">
            <w:pPr>
              <w:pStyle w:val="ListParagraph"/>
              <w:numPr>
                <w:ilvl w:val="0"/>
                <w:numId w:val="18"/>
              </w:numPr>
              <w:spacing w:line="276" w:lineRule="auto"/>
              <w:ind w:left="357" w:hanging="357"/>
              <w:jc w:val="both"/>
              <w:rPr>
                <w:rFonts w:cs="Arial"/>
              </w:rPr>
            </w:pPr>
            <w:r w:rsidRPr="00272CF3">
              <w:rPr>
                <w:rFonts w:cs="Arial"/>
              </w:rPr>
              <w:t>The asset value is likely to be de</w:t>
            </w:r>
            <w:r>
              <w:rPr>
                <w:rFonts w:cs="Arial"/>
              </w:rPr>
              <w:t>preciating</w:t>
            </w:r>
            <w:r w:rsidRPr="00272CF3">
              <w:rPr>
                <w:rFonts w:cs="Arial"/>
              </w:rPr>
              <w:t xml:space="preserve"> </w:t>
            </w:r>
            <w:proofErr w:type="gramStart"/>
            <w:r w:rsidRPr="00272CF3">
              <w:rPr>
                <w:rFonts w:cs="Arial"/>
              </w:rPr>
              <w:t>as a result of</w:t>
            </w:r>
            <w:proofErr w:type="gramEnd"/>
            <w:r w:rsidRPr="00272CF3">
              <w:rPr>
                <w:rFonts w:cs="Arial"/>
              </w:rPr>
              <w:t xml:space="preserve"> </w:t>
            </w:r>
            <w:r>
              <w:rPr>
                <w:rFonts w:cs="Arial"/>
              </w:rPr>
              <w:t>other external factors</w:t>
            </w:r>
            <w:r w:rsidRPr="00272CF3">
              <w:rPr>
                <w:rFonts w:cs="Arial"/>
              </w:rPr>
              <w:t xml:space="preserve"> rather than under investment.</w:t>
            </w:r>
          </w:p>
          <w:p w14:paraId="31570CA7" w14:textId="77777777" w:rsidR="00E31A12" w:rsidRPr="003C14A3" w:rsidRDefault="00E31A12" w:rsidP="00E31A12">
            <w:pPr>
              <w:jc w:val="both"/>
              <w:rPr>
                <w:rFonts w:cs="Arial"/>
              </w:rPr>
            </w:pPr>
          </w:p>
          <w:p w14:paraId="738D3B61"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Public Perception</w:t>
            </w:r>
          </w:p>
          <w:p w14:paraId="0C2BFAD7" w14:textId="77777777" w:rsidR="00E31A12" w:rsidRPr="00781BBC" w:rsidRDefault="00E31A12" w:rsidP="00E31A12">
            <w:pPr>
              <w:pStyle w:val="ListParagraph"/>
              <w:numPr>
                <w:ilvl w:val="0"/>
                <w:numId w:val="19"/>
              </w:numPr>
              <w:spacing w:line="276" w:lineRule="auto"/>
              <w:ind w:left="357" w:hanging="357"/>
              <w:jc w:val="both"/>
              <w:rPr>
                <w:rFonts w:cs="Arial"/>
                <w:color w:val="000000" w:themeColor="text1"/>
                <w:szCs w:val="24"/>
              </w:rPr>
            </w:pPr>
            <w:r w:rsidRPr="00781BBC">
              <w:rPr>
                <w:rFonts w:cs="Arial"/>
                <w:color w:val="000000" w:themeColor="text1"/>
              </w:rPr>
              <w:t>It is likely that public opinion does not reflect the condition of the asset and the presence of any defects at all would be considered by members of the public to indicate that the asset was in poor condition.</w:t>
            </w:r>
          </w:p>
          <w:p w14:paraId="0E42D4AA" w14:textId="77777777" w:rsidR="00E31A12" w:rsidRPr="003C14A3" w:rsidRDefault="00E31A12" w:rsidP="00E31A12">
            <w:pPr>
              <w:ind w:left="357" w:hanging="357"/>
              <w:jc w:val="both"/>
              <w:rPr>
                <w:rFonts w:cs="Arial"/>
              </w:rPr>
            </w:pPr>
          </w:p>
          <w:p w14:paraId="34E526F8" w14:textId="77777777" w:rsidR="00E31A12" w:rsidRPr="00272CF3" w:rsidRDefault="00E31A12" w:rsidP="00E31A12">
            <w:pPr>
              <w:pStyle w:val="ListParagraph"/>
              <w:numPr>
                <w:ilvl w:val="0"/>
                <w:numId w:val="27"/>
              </w:numPr>
              <w:ind w:left="357" w:hanging="357"/>
              <w:jc w:val="both"/>
              <w:rPr>
                <w:rFonts w:cs="Arial"/>
                <w:b/>
              </w:rPr>
            </w:pPr>
            <w:r w:rsidRPr="00272CF3">
              <w:rPr>
                <w:rFonts w:cs="Arial"/>
                <w:b/>
              </w:rPr>
              <w:t>Service Delivery</w:t>
            </w:r>
          </w:p>
          <w:p w14:paraId="5614CE2F" w14:textId="2A0B36CC" w:rsidR="00E31A12" w:rsidRPr="00272CF3" w:rsidRDefault="00E31A12" w:rsidP="00E31A12">
            <w:pPr>
              <w:pStyle w:val="ListParagraph"/>
              <w:numPr>
                <w:ilvl w:val="0"/>
                <w:numId w:val="19"/>
              </w:numPr>
              <w:spacing w:line="276" w:lineRule="auto"/>
              <w:ind w:left="357" w:hanging="357"/>
              <w:jc w:val="both"/>
              <w:rPr>
                <w:rFonts w:cs="Arial"/>
              </w:rPr>
            </w:pPr>
            <w:r w:rsidRPr="00272CF3">
              <w:rPr>
                <w:rFonts w:cs="Arial"/>
              </w:rPr>
              <w:t xml:space="preserve">A mixture of </w:t>
            </w:r>
            <w:r>
              <w:rPr>
                <w:rFonts w:cs="Arial"/>
              </w:rPr>
              <w:t xml:space="preserve">preventative maintenance undertaken at the optimal time </w:t>
            </w:r>
            <w:r w:rsidRPr="00272CF3">
              <w:rPr>
                <w:rFonts w:cs="Arial"/>
              </w:rPr>
              <w:t xml:space="preserve">and reactive maintenance will be delivered although it is possible that </w:t>
            </w:r>
            <w:r>
              <w:rPr>
                <w:rFonts w:cs="Arial"/>
              </w:rPr>
              <w:t>outside</w:t>
            </w:r>
            <w:r w:rsidRPr="00272CF3">
              <w:rPr>
                <w:rFonts w:cs="Arial"/>
              </w:rPr>
              <w:t xml:space="preserve"> pressure focuses some investment in areas which do not serve to improve the condition of the asset.</w:t>
            </w:r>
          </w:p>
          <w:p w14:paraId="7736D5F6" w14:textId="77777777" w:rsidR="00E31A12" w:rsidRPr="00272CF3" w:rsidRDefault="00E31A12" w:rsidP="00E31A12">
            <w:pPr>
              <w:pStyle w:val="ListParagraph"/>
              <w:numPr>
                <w:ilvl w:val="0"/>
                <w:numId w:val="19"/>
              </w:numPr>
              <w:spacing w:line="276" w:lineRule="auto"/>
              <w:ind w:left="357" w:hanging="357"/>
              <w:jc w:val="both"/>
              <w:rPr>
                <w:rFonts w:cs="Arial"/>
              </w:rPr>
            </w:pPr>
            <w:r w:rsidRPr="00272CF3">
              <w:rPr>
                <w:rFonts w:cs="Arial"/>
              </w:rPr>
              <w:t xml:space="preserve">The backlog of maintenance </w:t>
            </w:r>
            <w:r>
              <w:rPr>
                <w:rFonts w:cs="Arial"/>
              </w:rPr>
              <w:t>needs</w:t>
            </w:r>
            <w:r w:rsidRPr="00272CF3">
              <w:rPr>
                <w:rFonts w:cs="Arial"/>
              </w:rPr>
              <w:t xml:space="preserve"> will probably be growing but at a reduced rate</w:t>
            </w:r>
            <w:r>
              <w:rPr>
                <w:rFonts w:cs="Arial"/>
              </w:rPr>
              <w:t>,</w:t>
            </w:r>
            <w:r w:rsidRPr="00272CF3">
              <w:rPr>
                <w:rFonts w:cs="Arial"/>
              </w:rPr>
              <w:t xml:space="preserve"> due to any severe weather events and </w:t>
            </w:r>
            <w:r>
              <w:rPr>
                <w:rFonts w:cs="Arial"/>
              </w:rPr>
              <w:t xml:space="preserve">the reduction of </w:t>
            </w:r>
            <w:r w:rsidRPr="00272CF3">
              <w:rPr>
                <w:rFonts w:cs="Arial"/>
              </w:rPr>
              <w:t>our ability to focus on technically driven programmes.</w:t>
            </w:r>
          </w:p>
          <w:p w14:paraId="3FE7B5CF" w14:textId="77777777" w:rsidR="00E31A12" w:rsidRPr="00272CF3" w:rsidRDefault="00E31A12" w:rsidP="00E31A12">
            <w:pPr>
              <w:spacing w:before="120"/>
              <w:jc w:val="center"/>
              <w:rPr>
                <w:rFonts w:cs="Arial"/>
                <w:b/>
              </w:rPr>
            </w:pPr>
          </w:p>
        </w:tc>
      </w:tr>
      <w:tr w:rsidR="00E31A12" w:rsidRPr="00272CF3" w14:paraId="4A934AC4" w14:textId="77777777" w:rsidTr="00E31A12">
        <w:tc>
          <w:tcPr>
            <w:tcW w:w="1857" w:type="dxa"/>
            <w:shd w:val="clear" w:color="auto" w:fill="FFC000"/>
          </w:tcPr>
          <w:p w14:paraId="36C0D9FD" w14:textId="4C6F425B" w:rsidR="00E31A12" w:rsidRPr="00272CF3" w:rsidRDefault="00E31A12" w:rsidP="00E31A12">
            <w:pPr>
              <w:jc w:val="both"/>
              <w:rPr>
                <w:rFonts w:cs="Arial"/>
                <w:b/>
              </w:rPr>
            </w:pPr>
            <w:r w:rsidRPr="008C65A9">
              <w:rPr>
                <w:rFonts w:cs="Arial"/>
                <w:b/>
                <w:color w:val="000000" w:themeColor="text1"/>
              </w:rPr>
              <w:lastRenderedPageBreak/>
              <w:t>ACCEPTABLE</w:t>
            </w:r>
          </w:p>
        </w:tc>
        <w:tc>
          <w:tcPr>
            <w:tcW w:w="12595" w:type="dxa"/>
          </w:tcPr>
          <w:p w14:paraId="63516F41" w14:textId="77777777" w:rsidR="00E31A12" w:rsidRPr="00272CF3" w:rsidRDefault="00E31A12" w:rsidP="00E31A12">
            <w:pPr>
              <w:spacing w:line="276" w:lineRule="auto"/>
              <w:ind w:left="397" w:hanging="357"/>
              <w:jc w:val="both"/>
              <w:rPr>
                <w:rFonts w:cs="Arial"/>
                <w:b/>
              </w:rPr>
            </w:pPr>
            <w:r w:rsidRPr="00272CF3">
              <w:rPr>
                <w:rFonts w:cs="Arial"/>
                <w:b/>
              </w:rPr>
              <w:t>Definition</w:t>
            </w:r>
          </w:p>
          <w:p w14:paraId="4625F46B" w14:textId="7CE99EF3" w:rsidR="00E31A12" w:rsidRPr="00272CF3" w:rsidRDefault="00E31A12" w:rsidP="00E31A12">
            <w:pPr>
              <w:spacing w:line="276" w:lineRule="auto"/>
              <w:jc w:val="both"/>
              <w:rPr>
                <w:rFonts w:cs="Arial"/>
              </w:rPr>
            </w:pPr>
            <w:r w:rsidRPr="00272CF3">
              <w:rPr>
                <w:rFonts w:cs="Arial"/>
              </w:rPr>
              <w:t xml:space="preserve">The minimum level of service to meet </w:t>
            </w:r>
            <w:r>
              <w:rPr>
                <w:rFonts w:cs="Arial"/>
              </w:rPr>
              <w:t xml:space="preserve">most </w:t>
            </w:r>
            <w:r w:rsidRPr="00272CF3">
              <w:rPr>
                <w:rFonts w:cs="Arial"/>
              </w:rPr>
              <w:t xml:space="preserve">statutory requirements and compliance with minimum requirements detailed in national </w:t>
            </w:r>
            <w:r>
              <w:rPr>
                <w:rFonts w:cs="Arial"/>
              </w:rPr>
              <w:t>c</w:t>
            </w:r>
            <w:r w:rsidRPr="00272CF3">
              <w:rPr>
                <w:rFonts w:cs="Arial"/>
              </w:rPr>
              <w:t xml:space="preserve">odes of </w:t>
            </w:r>
            <w:r>
              <w:rPr>
                <w:rFonts w:cs="Arial"/>
              </w:rPr>
              <w:t>p</w:t>
            </w:r>
            <w:r w:rsidRPr="00272CF3">
              <w:rPr>
                <w:rFonts w:cs="Arial"/>
              </w:rPr>
              <w:t>ractice.  The risks and consequence</w:t>
            </w:r>
            <w:r>
              <w:rPr>
                <w:rFonts w:cs="Arial"/>
              </w:rPr>
              <w:t>s</w:t>
            </w:r>
            <w:r w:rsidRPr="00272CF3">
              <w:rPr>
                <w:rFonts w:cs="Arial"/>
              </w:rPr>
              <w:t xml:space="preserve"> associated with providing this service level are summarised below:</w:t>
            </w:r>
          </w:p>
          <w:p w14:paraId="10916692" w14:textId="77777777" w:rsidR="00E31A12" w:rsidRPr="00AD5DC2" w:rsidRDefault="00E31A12" w:rsidP="00E31A12">
            <w:pPr>
              <w:spacing w:line="276" w:lineRule="auto"/>
              <w:ind w:left="357" w:hanging="357"/>
              <w:jc w:val="both"/>
              <w:rPr>
                <w:rFonts w:cs="Arial"/>
              </w:rPr>
            </w:pPr>
          </w:p>
          <w:p w14:paraId="62D24969"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t>Legal</w:t>
            </w:r>
          </w:p>
          <w:p w14:paraId="38571AD6" w14:textId="0C591C8D" w:rsidR="00E31A12" w:rsidRPr="00272CF3" w:rsidRDefault="00E31A12" w:rsidP="00E31A12">
            <w:pPr>
              <w:pStyle w:val="ListParagraph"/>
              <w:numPr>
                <w:ilvl w:val="0"/>
                <w:numId w:val="5"/>
              </w:numPr>
              <w:spacing w:line="276" w:lineRule="auto"/>
              <w:ind w:left="357" w:hanging="357"/>
              <w:jc w:val="both"/>
              <w:rPr>
                <w:rFonts w:cs="Arial"/>
              </w:rPr>
            </w:pPr>
            <w:r w:rsidRPr="00272CF3">
              <w:rPr>
                <w:rFonts w:cs="Arial"/>
              </w:rPr>
              <w:t>The authority complies with the requirements of the relevant codes of practice in all key respects; any derogation is documented and supported by a robust risk assessment.</w:t>
            </w:r>
          </w:p>
          <w:p w14:paraId="00AD477B" w14:textId="77777777" w:rsidR="00E31A12" w:rsidRPr="00272CF3" w:rsidRDefault="00E31A12" w:rsidP="00E31A12">
            <w:pPr>
              <w:pStyle w:val="ListParagraph"/>
              <w:numPr>
                <w:ilvl w:val="0"/>
                <w:numId w:val="5"/>
              </w:numPr>
              <w:spacing w:line="276" w:lineRule="auto"/>
              <w:ind w:left="357" w:hanging="357"/>
              <w:jc w:val="both"/>
              <w:rPr>
                <w:rFonts w:cs="Arial"/>
              </w:rPr>
            </w:pPr>
            <w:r w:rsidRPr="00272CF3">
              <w:rPr>
                <w:rFonts w:cs="Arial"/>
              </w:rPr>
              <w:t>We know what is required and how we deliver the requirements</w:t>
            </w:r>
            <w:r>
              <w:rPr>
                <w:rFonts w:cs="Arial"/>
              </w:rPr>
              <w:t>.</w:t>
            </w:r>
          </w:p>
          <w:p w14:paraId="129BF4F4" w14:textId="77777777" w:rsidR="00E31A12" w:rsidRPr="00AD5DC2" w:rsidRDefault="00E31A12" w:rsidP="00E31A12">
            <w:pPr>
              <w:jc w:val="both"/>
              <w:rPr>
                <w:rFonts w:cs="Arial"/>
              </w:rPr>
            </w:pPr>
          </w:p>
          <w:p w14:paraId="0411021F" w14:textId="77777777" w:rsidR="00E31A12" w:rsidRPr="00272CF3" w:rsidRDefault="00E31A12" w:rsidP="00E31A12">
            <w:pPr>
              <w:pStyle w:val="ListParagraph"/>
              <w:numPr>
                <w:ilvl w:val="0"/>
                <w:numId w:val="26"/>
              </w:numPr>
              <w:ind w:left="357" w:hanging="357"/>
              <w:jc w:val="both"/>
              <w:rPr>
                <w:rFonts w:cs="Arial"/>
                <w:b/>
                <w:color w:val="000000" w:themeColor="text1"/>
              </w:rPr>
            </w:pPr>
            <w:r w:rsidRPr="00272CF3">
              <w:rPr>
                <w:rFonts w:cs="Arial"/>
                <w:b/>
              </w:rPr>
              <w:lastRenderedPageBreak/>
              <w:t>Safety</w:t>
            </w:r>
          </w:p>
          <w:p w14:paraId="1B8B1733" w14:textId="12AB50AB" w:rsidR="00E31A12" w:rsidRPr="00272CF3" w:rsidRDefault="00E31A12" w:rsidP="00E31A12">
            <w:pPr>
              <w:pStyle w:val="ListParagraph"/>
              <w:numPr>
                <w:ilvl w:val="0"/>
                <w:numId w:val="15"/>
              </w:numPr>
              <w:spacing w:line="276" w:lineRule="auto"/>
              <w:ind w:left="357" w:hanging="357"/>
              <w:jc w:val="both"/>
              <w:rPr>
                <w:rFonts w:cs="Arial"/>
                <w:b/>
                <w:color w:val="000000" w:themeColor="text1"/>
              </w:rPr>
            </w:pPr>
            <w:r w:rsidRPr="00272CF3">
              <w:rPr>
                <w:rFonts w:cs="Arial"/>
                <w:color w:val="000000" w:themeColor="text1"/>
              </w:rPr>
              <w:t>High reliance on Safety Inspection regime to identify defects.</w:t>
            </w:r>
          </w:p>
          <w:p w14:paraId="4205B6A3" w14:textId="5411F279" w:rsidR="00E31A12" w:rsidRPr="00272CF3" w:rsidRDefault="00E31A12" w:rsidP="00E31A12">
            <w:pPr>
              <w:pStyle w:val="ListParagraph"/>
              <w:numPr>
                <w:ilvl w:val="0"/>
                <w:numId w:val="12"/>
              </w:numPr>
              <w:spacing w:line="276" w:lineRule="auto"/>
              <w:ind w:left="357" w:hanging="357"/>
              <w:jc w:val="both"/>
              <w:rPr>
                <w:rFonts w:cs="Arial"/>
              </w:rPr>
            </w:pPr>
            <w:r w:rsidRPr="00272CF3">
              <w:rPr>
                <w:rFonts w:cs="Arial"/>
              </w:rPr>
              <w:t xml:space="preserve">In all cases </w:t>
            </w:r>
            <w:r w:rsidRPr="00272CF3">
              <w:rPr>
                <w:rFonts w:cs="Arial"/>
                <w:b/>
              </w:rPr>
              <w:t>except</w:t>
            </w:r>
            <w:r w:rsidRPr="00272CF3">
              <w:rPr>
                <w:rFonts w:cs="Arial"/>
              </w:rPr>
              <w:t xml:space="preserve"> where the asset condition was formerly </w:t>
            </w:r>
            <w:r>
              <w:rPr>
                <w:rFonts w:cs="Arial"/>
              </w:rPr>
              <w:t>GOOD</w:t>
            </w:r>
            <w:r w:rsidRPr="00272CF3">
              <w:rPr>
                <w:rFonts w:cs="Arial"/>
              </w:rPr>
              <w:t xml:space="preserve"> or </w:t>
            </w:r>
            <w:r>
              <w:rPr>
                <w:rFonts w:cs="Arial"/>
              </w:rPr>
              <w:t>EXCELLENT</w:t>
            </w:r>
            <w:r w:rsidRPr="00272CF3">
              <w:rPr>
                <w:rFonts w:cs="Arial"/>
              </w:rPr>
              <w:t xml:space="preserve"> it is likely to result in an increase in the risks associated with safety or legal deficits.</w:t>
            </w:r>
          </w:p>
          <w:p w14:paraId="703C68C3" w14:textId="79E2A289" w:rsidR="00E31A12" w:rsidRPr="00272CF3" w:rsidRDefault="00E31A12" w:rsidP="00E31A12">
            <w:pPr>
              <w:pStyle w:val="ListParagraph"/>
              <w:numPr>
                <w:ilvl w:val="0"/>
                <w:numId w:val="10"/>
              </w:numPr>
              <w:spacing w:line="276" w:lineRule="auto"/>
              <w:ind w:left="357" w:hanging="357"/>
              <w:jc w:val="both"/>
              <w:rPr>
                <w:rFonts w:cs="Arial"/>
              </w:rPr>
            </w:pPr>
            <w:r w:rsidRPr="00272CF3">
              <w:rPr>
                <w:rFonts w:cs="Arial"/>
                <w:color w:val="000000" w:themeColor="text1"/>
              </w:rPr>
              <w:t>Safety defects are well defined with performance standards for rectification</w:t>
            </w:r>
            <w:r w:rsidRPr="00272CF3">
              <w:rPr>
                <w:rFonts w:cs="Arial"/>
              </w:rPr>
              <w:t xml:space="preserve"> of those defects.  Systems are in place to ensure proper assessment prioritisation and rectification of defects or temporary arrangements to mitigate risk until a permanent repair is possible.</w:t>
            </w:r>
          </w:p>
          <w:p w14:paraId="588BE564" w14:textId="77777777" w:rsidR="00E31A12" w:rsidRPr="00272CF3" w:rsidRDefault="00E31A12" w:rsidP="00E31A12">
            <w:pPr>
              <w:pStyle w:val="ListParagraph"/>
              <w:numPr>
                <w:ilvl w:val="0"/>
                <w:numId w:val="10"/>
              </w:numPr>
              <w:spacing w:line="276" w:lineRule="auto"/>
              <w:ind w:left="357" w:hanging="357"/>
              <w:jc w:val="both"/>
              <w:rPr>
                <w:rFonts w:cs="Arial"/>
              </w:rPr>
            </w:pPr>
            <w:r w:rsidRPr="00272CF3">
              <w:rPr>
                <w:rFonts w:cs="Arial"/>
              </w:rPr>
              <w:t>We have relevant information to support our delivery to required performance standards.</w:t>
            </w:r>
          </w:p>
          <w:p w14:paraId="09EC248B" w14:textId="77777777" w:rsidR="00E31A12" w:rsidRPr="00272CF3" w:rsidRDefault="00E31A12" w:rsidP="00E31A12">
            <w:pPr>
              <w:jc w:val="both"/>
              <w:rPr>
                <w:rFonts w:cs="Arial"/>
              </w:rPr>
            </w:pPr>
          </w:p>
          <w:p w14:paraId="43429B99"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t>Availability</w:t>
            </w:r>
          </w:p>
          <w:p w14:paraId="6D5811C6" w14:textId="77777777" w:rsidR="00E31A12" w:rsidRPr="00272CF3" w:rsidRDefault="00E31A12" w:rsidP="00E31A12">
            <w:pPr>
              <w:pStyle w:val="ListParagraph"/>
              <w:numPr>
                <w:ilvl w:val="0"/>
                <w:numId w:val="11"/>
              </w:numPr>
              <w:spacing w:line="276" w:lineRule="auto"/>
              <w:ind w:left="357" w:hanging="357"/>
              <w:jc w:val="both"/>
              <w:rPr>
                <w:rFonts w:cs="Arial"/>
              </w:rPr>
            </w:pPr>
            <w:proofErr w:type="gramStart"/>
            <w:r w:rsidRPr="00272CF3">
              <w:rPr>
                <w:rFonts w:cs="Arial"/>
              </w:rPr>
              <w:t>The majority of</w:t>
            </w:r>
            <w:proofErr w:type="gramEnd"/>
            <w:r w:rsidRPr="00272CF3">
              <w:rPr>
                <w:rFonts w:cs="Arial"/>
              </w:rPr>
              <w:t xml:space="preserve"> the asset is available for normal reasonable use.</w:t>
            </w:r>
          </w:p>
          <w:p w14:paraId="66AEC6EC" w14:textId="77777777" w:rsidR="00E31A12" w:rsidRPr="00272CF3" w:rsidRDefault="00E31A12" w:rsidP="00E31A12">
            <w:pPr>
              <w:ind w:left="357" w:hanging="357"/>
              <w:jc w:val="both"/>
              <w:rPr>
                <w:rFonts w:cs="Arial"/>
              </w:rPr>
            </w:pPr>
          </w:p>
          <w:p w14:paraId="5A123E73"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t>Condition</w:t>
            </w:r>
          </w:p>
          <w:p w14:paraId="08F29F24" w14:textId="010F1301" w:rsidR="00E31A12" w:rsidRPr="00272CF3" w:rsidRDefault="00E31A12" w:rsidP="00E31A12">
            <w:pPr>
              <w:pStyle w:val="ListParagraph"/>
              <w:numPr>
                <w:ilvl w:val="0"/>
                <w:numId w:val="11"/>
              </w:numPr>
              <w:spacing w:line="276" w:lineRule="auto"/>
              <w:ind w:left="357" w:hanging="357"/>
              <w:jc w:val="both"/>
              <w:rPr>
                <w:rFonts w:cs="Arial"/>
              </w:rPr>
            </w:pPr>
            <w:r w:rsidRPr="00272CF3">
              <w:rPr>
                <w:rFonts w:cs="Arial"/>
              </w:rPr>
              <w:t xml:space="preserve">The condition of the asset is deteriorating but at a reduced rate compared to </w:t>
            </w:r>
            <w:r>
              <w:rPr>
                <w:rFonts w:cs="Arial"/>
              </w:rPr>
              <w:t>POOR</w:t>
            </w:r>
            <w:r w:rsidRPr="00272CF3">
              <w:rPr>
                <w:rFonts w:cs="Arial"/>
              </w:rPr>
              <w:t xml:space="preserve"> standard.</w:t>
            </w:r>
          </w:p>
          <w:p w14:paraId="5ECFE7FE" w14:textId="77777777" w:rsidR="00E31A12" w:rsidRPr="00272CF3" w:rsidRDefault="00E31A12" w:rsidP="00E31A12">
            <w:pPr>
              <w:pStyle w:val="ListParagraph"/>
              <w:numPr>
                <w:ilvl w:val="0"/>
                <w:numId w:val="11"/>
              </w:numPr>
              <w:spacing w:line="276" w:lineRule="auto"/>
              <w:ind w:left="357" w:hanging="357"/>
              <w:jc w:val="both"/>
              <w:rPr>
                <w:rFonts w:cs="Arial"/>
              </w:rPr>
            </w:pPr>
            <w:r w:rsidRPr="00272CF3">
              <w:rPr>
                <w:rFonts w:cs="Arial"/>
              </w:rPr>
              <w:t xml:space="preserve">It is assumed that the rate of deterioration over under investment is of the order of 30% i.e. </w:t>
            </w:r>
            <w:r>
              <w:rPr>
                <w:rFonts w:cs="Arial"/>
              </w:rPr>
              <w:t>£</w:t>
            </w:r>
            <w:r w:rsidRPr="00272CF3">
              <w:rPr>
                <w:rFonts w:cs="Arial"/>
              </w:rPr>
              <w:t xml:space="preserve">10m underinvestment results in </w:t>
            </w:r>
            <w:r>
              <w:rPr>
                <w:rFonts w:cs="Arial"/>
              </w:rPr>
              <w:t>£</w:t>
            </w:r>
            <w:r w:rsidRPr="00272CF3">
              <w:rPr>
                <w:rFonts w:cs="Arial"/>
              </w:rPr>
              <w:t>13m of deterioration.</w:t>
            </w:r>
          </w:p>
          <w:p w14:paraId="6903D2CA" w14:textId="77777777" w:rsidR="00E31A12" w:rsidRPr="00272CF3" w:rsidRDefault="00E31A12" w:rsidP="00E31A12">
            <w:pPr>
              <w:ind w:left="357" w:hanging="357"/>
              <w:jc w:val="both"/>
              <w:rPr>
                <w:rFonts w:cs="Arial"/>
              </w:rPr>
            </w:pPr>
          </w:p>
          <w:p w14:paraId="52BA6F37"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t>Asset Value</w:t>
            </w:r>
          </w:p>
          <w:p w14:paraId="55497708" w14:textId="77777777" w:rsidR="00E31A12" w:rsidRPr="00272CF3" w:rsidRDefault="00E31A12" w:rsidP="00E31A12">
            <w:pPr>
              <w:pStyle w:val="ListParagraph"/>
              <w:numPr>
                <w:ilvl w:val="0"/>
                <w:numId w:val="12"/>
              </w:numPr>
              <w:spacing w:line="276" w:lineRule="auto"/>
              <w:ind w:left="357" w:hanging="357"/>
              <w:jc w:val="both"/>
              <w:rPr>
                <w:rFonts w:cs="Arial"/>
              </w:rPr>
            </w:pPr>
            <w:r w:rsidRPr="00272CF3">
              <w:rPr>
                <w:rFonts w:cs="Arial"/>
              </w:rPr>
              <w:t>The asset value is likely to be de</w:t>
            </w:r>
            <w:r>
              <w:rPr>
                <w:rFonts w:cs="Arial"/>
              </w:rPr>
              <w:t>preciating</w:t>
            </w:r>
            <w:r w:rsidRPr="00272CF3">
              <w:rPr>
                <w:rFonts w:cs="Arial"/>
              </w:rPr>
              <w:t xml:space="preserve"> </w:t>
            </w:r>
            <w:proofErr w:type="gramStart"/>
            <w:r w:rsidRPr="00272CF3">
              <w:rPr>
                <w:rFonts w:cs="Arial"/>
              </w:rPr>
              <w:t>as a result of</w:t>
            </w:r>
            <w:proofErr w:type="gramEnd"/>
            <w:r w:rsidRPr="00272CF3">
              <w:rPr>
                <w:rFonts w:cs="Arial"/>
              </w:rPr>
              <w:t xml:space="preserve"> minimum investment.</w:t>
            </w:r>
          </w:p>
          <w:p w14:paraId="7E6856E1" w14:textId="77777777" w:rsidR="00E31A12" w:rsidRPr="00AD5DC2" w:rsidRDefault="00E31A12" w:rsidP="00E31A12">
            <w:pPr>
              <w:jc w:val="both"/>
              <w:rPr>
                <w:rFonts w:cs="Arial"/>
              </w:rPr>
            </w:pPr>
          </w:p>
          <w:p w14:paraId="03D9E1F0"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t>Public Perception</w:t>
            </w:r>
          </w:p>
          <w:p w14:paraId="58BD72C0" w14:textId="79976D87" w:rsidR="00E31A12" w:rsidRPr="00272CF3" w:rsidRDefault="00E31A12" w:rsidP="00E31A12">
            <w:pPr>
              <w:pStyle w:val="ListParagraph"/>
              <w:numPr>
                <w:ilvl w:val="0"/>
                <w:numId w:val="13"/>
              </w:numPr>
              <w:spacing w:line="276" w:lineRule="auto"/>
              <w:ind w:left="357" w:hanging="357"/>
              <w:jc w:val="both"/>
              <w:rPr>
                <w:rFonts w:cs="Arial"/>
              </w:rPr>
            </w:pPr>
            <w:r w:rsidRPr="00272CF3">
              <w:rPr>
                <w:rFonts w:cs="Arial"/>
              </w:rPr>
              <w:t xml:space="preserve">Likely to </w:t>
            </w:r>
            <w:proofErr w:type="gramStart"/>
            <w:r w:rsidRPr="00272CF3">
              <w:rPr>
                <w:rFonts w:cs="Arial"/>
              </w:rPr>
              <w:t>be well aware that</w:t>
            </w:r>
            <w:proofErr w:type="gramEnd"/>
            <w:r w:rsidRPr="00272CF3">
              <w:rPr>
                <w:rFonts w:cs="Arial"/>
              </w:rPr>
              <w:t xml:space="preserve"> the asset is deteriorating and is becoming less available, safe or fit for purpose.</w:t>
            </w:r>
          </w:p>
          <w:p w14:paraId="76E82349" w14:textId="77D8AE34" w:rsidR="00E31A12" w:rsidRPr="00272CF3" w:rsidRDefault="00E31A12" w:rsidP="00E31A12">
            <w:pPr>
              <w:pStyle w:val="ListParagraph"/>
              <w:numPr>
                <w:ilvl w:val="0"/>
                <w:numId w:val="13"/>
              </w:numPr>
              <w:spacing w:line="276" w:lineRule="auto"/>
              <w:ind w:left="357" w:hanging="357"/>
              <w:jc w:val="both"/>
              <w:rPr>
                <w:rFonts w:cs="Arial"/>
              </w:rPr>
            </w:pPr>
            <w:r w:rsidRPr="00272CF3">
              <w:rPr>
                <w:rFonts w:cs="Arial"/>
              </w:rPr>
              <w:t xml:space="preserve">Members </w:t>
            </w:r>
            <w:proofErr w:type="gramStart"/>
            <w:r w:rsidRPr="00272CF3">
              <w:rPr>
                <w:rFonts w:cs="Arial"/>
              </w:rPr>
              <w:t>in particular will</w:t>
            </w:r>
            <w:proofErr w:type="gramEnd"/>
            <w:r w:rsidRPr="00272CF3">
              <w:rPr>
                <w:rFonts w:cs="Arial"/>
              </w:rPr>
              <w:t xml:space="preserve"> be facing pressure for improvement and will seek to react to local pressures potentially diluting the impact on overall asset condition</w:t>
            </w:r>
            <w:r>
              <w:rPr>
                <w:rFonts w:cs="Arial"/>
              </w:rPr>
              <w:t>.</w:t>
            </w:r>
          </w:p>
          <w:p w14:paraId="429EAB2B" w14:textId="77777777" w:rsidR="00E31A12" w:rsidRPr="00272CF3" w:rsidRDefault="00E31A12" w:rsidP="00E31A12">
            <w:pPr>
              <w:pStyle w:val="ListParagraph"/>
              <w:numPr>
                <w:ilvl w:val="0"/>
                <w:numId w:val="13"/>
              </w:numPr>
              <w:spacing w:line="276" w:lineRule="auto"/>
              <w:ind w:left="357" w:hanging="357"/>
              <w:jc w:val="both"/>
              <w:rPr>
                <w:rFonts w:cs="Arial"/>
              </w:rPr>
            </w:pPr>
            <w:r w:rsidRPr="00272CF3">
              <w:rPr>
                <w:rFonts w:cs="Arial"/>
              </w:rPr>
              <w:t xml:space="preserve">Complaints and claims would be expected to be high. It is highly likely that members or the public would easily distinguish between </w:t>
            </w:r>
            <w:r>
              <w:rPr>
                <w:rFonts w:cs="Arial"/>
              </w:rPr>
              <w:t>POOR</w:t>
            </w:r>
            <w:r w:rsidRPr="00272CF3">
              <w:rPr>
                <w:rFonts w:cs="Arial"/>
              </w:rPr>
              <w:t xml:space="preserve"> and </w:t>
            </w:r>
            <w:r>
              <w:rPr>
                <w:rFonts w:cs="Arial"/>
              </w:rPr>
              <w:t>ACCEPTABLE</w:t>
            </w:r>
            <w:r w:rsidRPr="00272CF3">
              <w:rPr>
                <w:rFonts w:cs="Arial"/>
              </w:rPr>
              <w:t xml:space="preserve"> standards in their localities.</w:t>
            </w:r>
          </w:p>
          <w:p w14:paraId="5C197001" w14:textId="4209F9AD" w:rsidR="00E31A12" w:rsidRDefault="00E31A12" w:rsidP="00E31A12">
            <w:pPr>
              <w:jc w:val="both"/>
              <w:rPr>
                <w:rFonts w:cs="Arial"/>
              </w:rPr>
            </w:pPr>
          </w:p>
          <w:p w14:paraId="13BC4B0D" w14:textId="3997E619" w:rsidR="005E5342" w:rsidRDefault="005E5342" w:rsidP="00E31A12">
            <w:pPr>
              <w:jc w:val="both"/>
              <w:rPr>
                <w:rFonts w:cs="Arial"/>
              </w:rPr>
            </w:pPr>
          </w:p>
          <w:p w14:paraId="136325A6" w14:textId="77777777" w:rsidR="005E5342" w:rsidRPr="00272CF3" w:rsidRDefault="005E5342" w:rsidP="00E31A12">
            <w:pPr>
              <w:jc w:val="both"/>
              <w:rPr>
                <w:rFonts w:cs="Arial"/>
              </w:rPr>
            </w:pPr>
          </w:p>
          <w:p w14:paraId="56EAB8F8" w14:textId="77777777" w:rsidR="00E31A12" w:rsidRPr="00272CF3" w:rsidRDefault="00E31A12" w:rsidP="00E31A12">
            <w:pPr>
              <w:pStyle w:val="ListParagraph"/>
              <w:numPr>
                <w:ilvl w:val="0"/>
                <w:numId w:val="26"/>
              </w:numPr>
              <w:ind w:left="357" w:hanging="357"/>
              <w:jc w:val="both"/>
              <w:rPr>
                <w:rFonts w:cs="Arial"/>
                <w:b/>
              </w:rPr>
            </w:pPr>
            <w:r w:rsidRPr="00272CF3">
              <w:rPr>
                <w:rFonts w:cs="Arial"/>
                <w:b/>
              </w:rPr>
              <w:lastRenderedPageBreak/>
              <w:t>Service Delivery</w:t>
            </w:r>
          </w:p>
          <w:p w14:paraId="05C6DD6F" w14:textId="6B9324AC" w:rsidR="00E31A12" w:rsidRPr="00272CF3" w:rsidRDefault="00E31A12" w:rsidP="00E31A12">
            <w:pPr>
              <w:pStyle w:val="ListParagraph"/>
              <w:numPr>
                <w:ilvl w:val="0"/>
                <w:numId w:val="14"/>
              </w:numPr>
              <w:spacing w:line="276" w:lineRule="auto"/>
              <w:ind w:left="357" w:hanging="357"/>
              <w:jc w:val="both"/>
              <w:rPr>
                <w:rFonts w:cs="Arial"/>
                <w:b/>
              </w:rPr>
            </w:pPr>
            <w:r w:rsidRPr="00272CF3">
              <w:rPr>
                <w:rFonts w:cs="Arial"/>
              </w:rPr>
              <w:t>The princip</w:t>
            </w:r>
            <w:r>
              <w:rPr>
                <w:rFonts w:cs="Arial"/>
              </w:rPr>
              <w:t>le</w:t>
            </w:r>
            <w:r w:rsidRPr="00272CF3">
              <w:rPr>
                <w:rFonts w:cs="Arial"/>
              </w:rPr>
              <w:t xml:space="preserve"> focus is likely to be reactive maintenance rather than </w:t>
            </w:r>
            <w:r>
              <w:rPr>
                <w:rFonts w:cs="Arial"/>
              </w:rPr>
              <w:t>preventative works undertaken at the optimal time.</w:t>
            </w:r>
          </w:p>
          <w:p w14:paraId="3929AEE9" w14:textId="2C32957A" w:rsidR="00E31A12" w:rsidRPr="00272CF3" w:rsidRDefault="00E31A12" w:rsidP="00E31A12">
            <w:pPr>
              <w:pStyle w:val="ListParagraph"/>
              <w:numPr>
                <w:ilvl w:val="0"/>
                <w:numId w:val="14"/>
              </w:numPr>
              <w:spacing w:line="276" w:lineRule="auto"/>
              <w:ind w:left="357" w:hanging="357"/>
              <w:jc w:val="both"/>
              <w:rPr>
                <w:rFonts w:cs="Arial"/>
                <w:b/>
              </w:rPr>
            </w:pPr>
            <w:r w:rsidRPr="00272CF3">
              <w:rPr>
                <w:rFonts w:cs="Arial"/>
              </w:rPr>
              <w:t>It will not be possible to address all issues rapidly and a prioritisation of service demands will be required</w:t>
            </w:r>
            <w:r>
              <w:rPr>
                <w:rFonts w:cs="Arial"/>
              </w:rPr>
              <w:t>.</w:t>
            </w:r>
          </w:p>
          <w:p w14:paraId="0F27F458" w14:textId="4B8AE90A" w:rsidR="00E31A12" w:rsidRPr="00272CF3" w:rsidRDefault="00E31A12" w:rsidP="00E31A12">
            <w:pPr>
              <w:pStyle w:val="ListParagraph"/>
              <w:numPr>
                <w:ilvl w:val="0"/>
                <w:numId w:val="14"/>
              </w:numPr>
              <w:spacing w:line="276" w:lineRule="auto"/>
              <w:ind w:left="357" w:hanging="357"/>
              <w:jc w:val="both"/>
              <w:rPr>
                <w:rFonts w:cs="Arial"/>
                <w:b/>
              </w:rPr>
            </w:pPr>
            <w:r w:rsidRPr="00272CF3">
              <w:rPr>
                <w:rFonts w:cs="Arial"/>
              </w:rPr>
              <w:t xml:space="preserve">An increasing backlog of maintenance </w:t>
            </w:r>
            <w:r>
              <w:rPr>
                <w:rFonts w:cs="Arial"/>
              </w:rPr>
              <w:t>needs</w:t>
            </w:r>
            <w:r w:rsidRPr="00272CF3">
              <w:rPr>
                <w:rFonts w:cs="Arial"/>
              </w:rPr>
              <w:t xml:space="preserve"> will exacerbate the service problems and lead to a further chain reaction of deterioration.</w:t>
            </w:r>
          </w:p>
          <w:p w14:paraId="0AD58354" w14:textId="46F18A7F" w:rsidR="00E31A12" w:rsidRPr="00272CF3" w:rsidRDefault="00E31A12" w:rsidP="00E31A12">
            <w:pPr>
              <w:pStyle w:val="ListParagraph"/>
              <w:numPr>
                <w:ilvl w:val="0"/>
                <w:numId w:val="14"/>
              </w:numPr>
              <w:spacing w:line="276" w:lineRule="auto"/>
              <w:ind w:left="357" w:hanging="357"/>
              <w:jc w:val="both"/>
              <w:rPr>
                <w:rFonts w:cs="Arial"/>
                <w:b/>
              </w:rPr>
            </w:pPr>
            <w:r w:rsidRPr="00272CF3">
              <w:rPr>
                <w:rFonts w:cs="Arial"/>
              </w:rPr>
              <w:t xml:space="preserve"> De</w:t>
            </w:r>
            <w:r>
              <w:rPr>
                <w:rFonts w:cs="Arial"/>
              </w:rPr>
              <w:t>preciation</w:t>
            </w:r>
            <w:r w:rsidRPr="00272CF3">
              <w:rPr>
                <w:rFonts w:cs="Arial"/>
              </w:rPr>
              <w:t xml:space="preserve"> in the asset value would be expected to exceed the under investment required to achieve a </w:t>
            </w:r>
            <w:r>
              <w:rPr>
                <w:rFonts w:cs="Arial"/>
              </w:rPr>
              <w:t>FAIR</w:t>
            </w:r>
            <w:r w:rsidRPr="00272CF3">
              <w:rPr>
                <w:rFonts w:cs="Arial"/>
              </w:rPr>
              <w:t xml:space="preserve"> standard</w:t>
            </w:r>
            <w:r>
              <w:rPr>
                <w:rFonts w:cs="Arial"/>
              </w:rPr>
              <w:t>.</w:t>
            </w:r>
          </w:p>
          <w:p w14:paraId="3C1BD933" w14:textId="77777777" w:rsidR="00E31A12" w:rsidRDefault="00E31A12" w:rsidP="00E31A12">
            <w:pPr>
              <w:pStyle w:val="ListParagraph"/>
              <w:numPr>
                <w:ilvl w:val="0"/>
                <w:numId w:val="14"/>
              </w:numPr>
              <w:spacing w:line="276" w:lineRule="auto"/>
              <w:ind w:left="357" w:hanging="357"/>
              <w:jc w:val="both"/>
              <w:rPr>
                <w:rFonts w:cs="Arial"/>
              </w:rPr>
            </w:pPr>
            <w:r w:rsidRPr="00272CF3">
              <w:rPr>
                <w:rFonts w:cs="Arial"/>
              </w:rPr>
              <w:t>It would be expected that initially deterioration would outstrip underinvestment by 30% with that proportion tending to increase year on year.</w:t>
            </w:r>
          </w:p>
          <w:p w14:paraId="1F779B73" w14:textId="77777777" w:rsidR="00E31A12" w:rsidRPr="00272CF3" w:rsidRDefault="00E31A12" w:rsidP="00E31A12">
            <w:pPr>
              <w:spacing w:before="120"/>
              <w:jc w:val="center"/>
              <w:rPr>
                <w:rFonts w:cs="Arial"/>
                <w:b/>
              </w:rPr>
            </w:pPr>
          </w:p>
        </w:tc>
      </w:tr>
      <w:tr w:rsidR="00E31A12" w:rsidRPr="00272CF3" w14:paraId="6D5E3FCE" w14:textId="77777777" w:rsidTr="00E31A12">
        <w:tc>
          <w:tcPr>
            <w:tcW w:w="1857" w:type="dxa"/>
            <w:shd w:val="clear" w:color="auto" w:fill="FF0000"/>
          </w:tcPr>
          <w:p w14:paraId="7EF207FE" w14:textId="77777777" w:rsidR="00E31A12" w:rsidRPr="00272CF3" w:rsidRDefault="00E31A12" w:rsidP="00E31A12">
            <w:pPr>
              <w:spacing w:line="276" w:lineRule="auto"/>
              <w:jc w:val="both"/>
              <w:rPr>
                <w:rFonts w:cs="Arial"/>
                <w:color w:val="FFFFFF" w:themeColor="background1"/>
              </w:rPr>
            </w:pPr>
            <w:r>
              <w:rPr>
                <w:rFonts w:cs="Arial"/>
                <w:b/>
                <w:color w:val="FFFFFF" w:themeColor="background1"/>
              </w:rPr>
              <w:lastRenderedPageBreak/>
              <w:t>POO</w:t>
            </w:r>
            <w:r w:rsidRPr="0003215F">
              <w:rPr>
                <w:rFonts w:cs="Arial"/>
                <w:b/>
                <w:color w:val="FFFFFF" w:themeColor="background1"/>
                <w:shd w:val="clear" w:color="auto" w:fill="FF0000"/>
              </w:rPr>
              <w:t>R</w:t>
            </w:r>
          </w:p>
        </w:tc>
        <w:tc>
          <w:tcPr>
            <w:tcW w:w="12595" w:type="dxa"/>
          </w:tcPr>
          <w:p w14:paraId="262993E9" w14:textId="77777777" w:rsidR="00E31A12" w:rsidRPr="00272CF3" w:rsidRDefault="00E31A12" w:rsidP="00E31A12">
            <w:pPr>
              <w:spacing w:line="276" w:lineRule="auto"/>
              <w:jc w:val="both"/>
              <w:rPr>
                <w:rFonts w:cs="Arial"/>
                <w:b/>
              </w:rPr>
            </w:pPr>
            <w:r w:rsidRPr="00272CF3">
              <w:rPr>
                <w:rFonts w:cs="Arial"/>
                <w:b/>
              </w:rPr>
              <w:t>Definition</w:t>
            </w:r>
          </w:p>
          <w:p w14:paraId="241C1635" w14:textId="18E32CA8" w:rsidR="00E31A12" w:rsidRPr="00272CF3" w:rsidRDefault="00E31A12" w:rsidP="00E31A12">
            <w:pPr>
              <w:spacing w:line="276" w:lineRule="auto"/>
              <w:jc w:val="both"/>
              <w:rPr>
                <w:rFonts w:cs="Arial"/>
              </w:rPr>
            </w:pPr>
            <w:r w:rsidRPr="00272CF3">
              <w:rPr>
                <w:rFonts w:cs="Arial"/>
              </w:rPr>
              <w:t xml:space="preserve">Service delivery that is </w:t>
            </w:r>
            <w:r>
              <w:rPr>
                <w:rFonts w:cs="Arial"/>
              </w:rPr>
              <w:t xml:space="preserve">considered to fall </w:t>
            </w:r>
            <w:r w:rsidRPr="00272CF3">
              <w:rPr>
                <w:rFonts w:cs="Arial"/>
              </w:rPr>
              <w:t xml:space="preserve">below </w:t>
            </w:r>
            <w:r>
              <w:rPr>
                <w:rFonts w:cs="Arial"/>
              </w:rPr>
              <w:t xml:space="preserve">the </w:t>
            </w:r>
            <w:r w:rsidRPr="00272CF3">
              <w:rPr>
                <w:rFonts w:cs="Arial"/>
              </w:rPr>
              <w:t>minimum standard</w:t>
            </w:r>
            <w:r>
              <w:rPr>
                <w:rFonts w:cs="Arial"/>
              </w:rPr>
              <w:t xml:space="preserve"> deemed necessary to </w:t>
            </w:r>
            <w:r w:rsidRPr="00272CF3">
              <w:rPr>
                <w:rFonts w:cs="Arial"/>
              </w:rPr>
              <w:t xml:space="preserve">maintain </w:t>
            </w:r>
            <w:r>
              <w:rPr>
                <w:rFonts w:cs="Arial"/>
              </w:rPr>
              <w:t xml:space="preserve">the asset in a safe manner.  As a result, </w:t>
            </w:r>
            <w:r w:rsidRPr="00272CF3">
              <w:rPr>
                <w:rFonts w:cs="Arial"/>
              </w:rPr>
              <w:t xml:space="preserve">only </w:t>
            </w:r>
            <w:r>
              <w:rPr>
                <w:rFonts w:cs="Arial"/>
              </w:rPr>
              <w:t xml:space="preserve">those </w:t>
            </w:r>
            <w:r w:rsidRPr="00272CF3">
              <w:rPr>
                <w:rFonts w:cs="Arial"/>
              </w:rPr>
              <w:t>essential and critical repairs that are affordable are undertaken.  The risks and consequence</w:t>
            </w:r>
            <w:r>
              <w:rPr>
                <w:rFonts w:cs="Arial"/>
              </w:rPr>
              <w:t>s</w:t>
            </w:r>
            <w:r w:rsidRPr="00272CF3">
              <w:rPr>
                <w:rFonts w:cs="Arial"/>
              </w:rPr>
              <w:t xml:space="preserve"> associated with providing this service level are summarised below:</w:t>
            </w:r>
          </w:p>
          <w:p w14:paraId="648CAA72" w14:textId="77777777" w:rsidR="00E31A12" w:rsidRPr="00272CF3" w:rsidRDefault="00E31A12" w:rsidP="00E31A12">
            <w:pPr>
              <w:jc w:val="both"/>
              <w:rPr>
                <w:rFonts w:cs="Arial"/>
              </w:rPr>
            </w:pPr>
          </w:p>
          <w:p w14:paraId="0373C44A"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Legal</w:t>
            </w:r>
          </w:p>
          <w:p w14:paraId="0B3DFB71" w14:textId="31910422" w:rsidR="00E31A12" w:rsidRPr="006B6BB9" w:rsidRDefault="00E31A12" w:rsidP="00E31A12">
            <w:pPr>
              <w:pStyle w:val="ListParagraph"/>
              <w:numPr>
                <w:ilvl w:val="0"/>
                <w:numId w:val="2"/>
              </w:numPr>
              <w:spacing w:line="276" w:lineRule="auto"/>
              <w:ind w:left="357" w:hanging="357"/>
              <w:jc w:val="both"/>
              <w:rPr>
                <w:rFonts w:cs="Arial"/>
                <w:color w:val="000000" w:themeColor="text1"/>
              </w:rPr>
            </w:pPr>
            <w:r w:rsidRPr="006B6BB9">
              <w:rPr>
                <w:rFonts w:cs="Arial"/>
                <w:color w:val="000000" w:themeColor="text1"/>
              </w:rPr>
              <w:t xml:space="preserve">Unable to </w:t>
            </w:r>
            <w:r>
              <w:rPr>
                <w:rFonts w:cs="Arial"/>
                <w:color w:val="000000" w:themeColor="text1"/>
              </w:rPr>
              <w:t xml:space="preserve">ensure that we </w:t>
            </w:r>
            <w:r w:rsidRPr="006B6BB9">
              <w:rPr>
                <w:rFonts w:cs="Arial"/>
                <w:color w:val="000000" w:themeColor="text1"/>
              </w:rPr>
              <w:t xml:space="preserve">carry out all those duties that are incumbent on the authority through law, statutory </w:t>
            </w:r>
            <w:proofErr w:type="gramStart"/>
            <w:r w:rsidRPr="006B6BB9">
              <w:rPr>
                <w:rFonts w:cs="Arial"/>
                <w:color w:val="000000" w:themeColor="text1"/>
              </w:rPr>
              <w:t>duties</w:t>
            </w:r>
            <w:proofErr w:type="gramEnd"/>
            <w:r w:rsidRPr="006B6BB9">
              <w:rPr>
                <w:rFonts w:cs="Arial"/>
                <w:color w:val="000000" w:themeColor="text1"/>
              </w:rPr>
              <w:t xml:space="preserve"> or mandatory requirements.</w:t>
            </w:r>
          </w:p>
          <w:p w14:paraId="63E3C623" w14:textId="1240ECDF" w:rsidR="00E31A12" w:rsidRPr="006B6BB9" w:rsidRDefault="00E31A12" w:rsidP="00E31A12">
            <w:pPr>
              <w:pStyle w:val="ListParagraph"/>
              <w:numPr>
                <w:ilvl w:val="0"/>
                <w:numId w:val="2"/>
              </w:numPr>
              <w:spacing w:line="276" w:lineRule="auto"/>
              <w:ind w:left="357" w:hanging="357"/>
              <w:jc w:val="both"/>
              <w:rPr>
                <w:rFonts w:cs="Arial"/>
                <w:color w:val="000000" w:themeColor="text1"/>
              </w:rPr>
            </w:pPr>
            <w:r w:rsidRPr="006B6BB9">
              <w:rPr>
                <w:rFonts w:cs="Arial"/>
                <w:color w:val="000000" w:themeColor="text1"/>
              </w:rPr>
              <w:t xml:space="preserve">Insufficient allocation to carry out works to recommendations contained in relevant </w:t>
            </w:r>
            <w:r>
              <w:rPr>
                <w:rFonts w:cs="Arial"/>
                <w:color w:val="000000" w:themeColor="text1"/>
              </w:rPr>
              <w:t>c</w:t>
            </w:r>
            <w:r w:rsidRPr="006B6BB9">
              <w:rPr>
                <w:rFonts w:cs="Arial"/>
                <w:color w:val="000000" w:themeColor="text1"/>
              </w:rPr>
              <w:t xml:space="preserve">odes of </w:t>
            </w:r>
            <w:r>
              <w:rPr>
                <w:rFonts w:cs="Arial"/>
                <w:color w:val="000000" w:themeColor="text1"/>
              </w:rPr>
              <w:t>p</w:t>
            </w:r>
            <w:r w:rsidRPr="006B6BB9">
              <w:rPr>
                <w:rFonts w:cs="Arial"/>
                <w:color w:val="000000" w:themeColor="text1"/>
              </w:rPr>
              <w:t>ractice for which there is no approved derogation</w:t>
            </w:r>
            <w:r>
              <w:rPr>
                <w:rFonts w:cs="Arial"/>
                <w:color w:val="000000" w:themeColor="text1"/>
              </w:rPr>
              <w:t>.</w:t>
            </w:r>
          </w:p>
          <w:p w14:paraId="34350D60" w14:textId="2B923330" w:rsidR="00E31A12" w:rsidRPr="00272CF3" w:rsidRDefault="00E31A12" w:rsidP="00E31A12">
            <w:pPr>
              <w:pStyle w:val="ListParagraph"/>
              <w:numPr>
                <w:ilvl w:val="0"/>
                <w:numId w:val="2"/>
              </w:numPr>
              <w:spacing w:line="276" w:lineRule="auto"/>
              <w:ind w:left="357" w:hanging="357"/>
              <w:jc w:val="both"/>
              <w:rPr>
                <w:rFonts w:cs="Arial"/>
              </w:rPr>
            </w:pPr>
            <w:r w:rsidRPr="006B6BB9">
              <w:rPr>
                <w:rFonts w:cs="Arial"/>
                <w:color w:val="000000" w:themeColor="text1"/>
              </w:rPr>
              <w:t>Authority</w:t>
            </w:r>
            <w:r w:rsidRPr="00272CF3">
              <w:rPr>
                <w:rFonts w:cs="Arial"/>
              </w:rPr>
              <w:t xml:space="preserve"> is more exposed to legal action up to and including corporate manslaughter.</w:t>
            </w:r>
          </w:p>
          <w:p w14:paraId="724EDB7D" w14:textId="77777777" w:rsidR="00E31A12" w:rsidRPr="00272CF3" w:rsidRDefault="00E31A12" w:rsidP="00E31A12">
            <w:pPr>
              <w:pStyle w:val="ListParagraph"/>
              <w:numPr>
                <w:ilvl w:val="0"/>
                <w:numId w:val="2"/>
              </w:numPr>
              <w:spacing w:line="276" w:lineRule="auto"/>
              <w:ind w:left="357" w:hanging="357"/>
              <w:jc w:val="both"/>
              <w:rPr>
                <w:rFonts w:cs="Arial"/>
              </w:rPr>
            </w:pPr>
            <w:r w:rsidRPr="00272CF3">
              <w:rPr>
                <w:rFonts w:cs="Arial"/>
              </w:rPr>
              <w:t>Degree of risk may be mitigated by a robust risk assessment which describes the reasons for deviation from the code of practice.</w:t>
            </w:r>
          </w:p>
          <w:p w14:paraId="56472C6A" w14:textId="77777777" w:rsidR="00E31A12" w:rsidRPr="00272CF3" w:rsidRDefault="00E31A12" w:rsidP="00E31A12">
            <w:pPr>
              <w:jc w:val="both"/>
              <w:rPr>
                <w:rFonts w:cs="Arial"/>
              </w:rPr>
            </w:pPr>
          </w:p>
          <w:p w14:paraId="037FCED4"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Safety</w:t>
            </w:r>
          </w:p>
          <w:p w14:paraId="592E5934" w14:textId="184DFAB3" w:rsidR="00E31A12" w:rsidRPr="00272CF3" w:rsidRDefault="00E31A12" w:rsidP="00E31A12">
            <w:pPr>
              <w:pStyle w:val="ListParagraph"/>
              <w:numPr>
                <w:ilvl w:val="0"/>
                <w:numId w:val="8"/>
              </w:numPr>
              <w:spacing w:line="276" w:lineRule="auto"/>
              <w:ind w:left="357" w:hanging="357"/>
              <w:jc w:val="both"/>
              <w:rPr>
                <w:rFonts w:cs="Arial"/>
                <w:color w:val="000000" w:themeColor="text1"/>
              </w:rPr>
            </w:pPr>
            <w:r w:rsidRPr="00272CF3">
              <w:rPr>
                <w:rFonts w:cs="Arial"/>
                <w:color w:val="000000" w:themeColor="text1"/>
              </w:rPr>
              <w:t xml:space="preserve">In all cases </w:t>
            </w:r>
            <w:r w:rsidRPr="00272CF3">
              <w:rPr>
                <w:rFonts w:cs="Arial"/>
                <w:b/>
                <w:color w:val="000000" w:themeColor="text1"/>
              </w:rPr>
              <w:t>except</w:t>
            </w:r>
            <w:r w:rsidRPr="00272CF3">
              <w:rPr>
                <w:rFonts w:cs="Arial"/>
                <w:color w:val="000000" w:themeColor="text1"/>
              </w:rPr>
              <w:t xml:space="preserve"> where the asset condition was formerly </w:t>
            </w:r>
            <w:r>
              <w:rPr>
                <w:rFonts w:cs="Arial"/>
                <w:color w:val="000000" w:themeColor="text1"/>
              </w:rPr>
              <w:t>GOOD or EXCELLENT</w:t>
            </w:r>
            <w:r w:rsidRPr="00272CF3">
              <w:rPr>
                <w:rFonts w:cs="Arial"/>
                <w:color w:val="000000" w:themeColor="text1"/>
              </w:rPr>
              <w:t xml:space="preserve"> it is likely to result in a significant increase in the risks associated with safety or legal deficits.</w:t>
            </w:r>
          </w:p>
          <w:p w14:paraId="622116F3" w14:textId="043F1220" w:rsidR="00E31A12" w:rsidRPr="00272CF3" w:rsidRDefault="00E31A12" w:rsidP="00E31A12">
            <w:pPr>
              <w:pStyle w:val="ListParagraph"/>
              <w:numPr>
                <w:ilvl w:val="0"/>
                <w:numId w:val="6"/>
              </w:numPr>
              <w:spacing w:line="276" w:lineRule="auto"/>
              <w:ind w:left="357" w:hanging="357"/>
              <w:jc w:val="both"/>
              <w:rPr>
                <w:rFonts w:cs="Arial"/>
              </w:rPr>
            </w:pPr>
            <w:r w:rsidRPr="00272CF3">
              <w:rPr>
                <w:rFonts w:cs="Arial"/>
              </w:rPr>
              <w:lastRenderedPageBreak/>
              <w:t>Risks associated with the asset may be increased with attendant risks of legal exposure</w:t>
            </w:r>
            <w:r>
              <w:rPr>
                <w:rFonts w:cs="Arial"/>
              </w:rPr>
              <w:t>.</w:t>
            </w:r>
          </w:p>
          <w:p w14:paraId="2A7A5A2C" w14:textId="2826FDA9" w:rsidR="00E31A12" w:rsidRPr="00272CF3" w:rsidRDefault="00E31A12" w:rsidP="00E31A12">
            <w:pPr>
              <w:pStyle w:val="ListParagraph"/>
              <w:numPr>
                <w:ilvl w:val="0"/>
                <w:numId w:val="6"/>
              </w:numPr>
              <w:spacing w:line="276" w:lineRule="auto"/>
              <w:ind w:left="357" w:hanging="357"/>
              <w:jc w:val="both"/>
              <w:rPr>
                <w:rFonts w:cs="Arial"/>
              </w:rPr>
            </w:pPr>
            <w:r w:rsidRPr="00272CF3">
              <w:rPr>
                <w:rFonts w:cs="Arial"/>
              </w:rPr>
              <w:t xml:space="preserve">Likely to result in a </w:t>
            </w:r>
            <w:r>
              <w:rPr>
                <w:rFonts w:cs="Arial"/>
              </w:rPr>
              <w:t>significant</w:t>
            </w:r>
            <w:r w:rsidRPr="00272CF3">
              <w:rPr>
                <w:rFonts w:cs="Arial"/>
              </w:rPr>
              <w:t xml:space="preserve"> increase in third party claims against LCC for personal injury and third-party damage</w:t>
            </w:r>
            <w:r>
              <w:rPr>
                <w:rFonts w:cs="Arial"/>
              </w:rPr>
              <w:t>.</w:t>
            </w:r>
          </w:p>
          <w:p w14:paraId="32E2010F" w14:textId="77777777" w:rsidR="00E31A12" w:rsidRPr="00272CF3" w:rsidRDefault="00E31A12" w:rsidP="00E31A12">
            <w:pPr>
              <w:pStyle w:val="ListParagraph"/>
              <w:numPr>
                <w:ilvl w:val="0"/>
                <w:numId w:val="3"/>
              </w:numPr>
              <w:spacing w:line="276" w:lineRule="auto"/>
              <w:ind w:left="357" w:hanging="357"/>
              <w:jc w:val="both"/>
              <w:rPr>
                <w:rFonts w:cs="Arial"/>
                <w:b/>
                <w:color w:val="000000" w:themeColor="text1"/>
              </w:rPr>
            </w:pPr>
            <w:r w:rsidRPr="00272CF3">
              <w:rPr>
                <w:rFonts w:cs="Arial"/>
                <w:color w:val="000000" w:themeColor="text1"/>
              </w:rPr>
              <w:t>Heavy reliance on Safety Inspection regime to identify defects.</w:t>
            </w:r>
          </w:p>
          <w:p w14:paraId="234F6355" w14:textId="77777777" w:rsidR="00E31A12" w:rsidRPr="00272CF3" w:rsidRDefault="00E31A12" w:rsidP="00E31A12">
            <w:pPr>
              <w:ind w:left="357" w:hanging="357"/>
              <w:jc w:val="both"/>
              <w:rPr>
                <w:rFonts w:cs="Arial"/>
              </w:rPr>
            </w:pPr>
          </w:p>
          <w:p w14:paraId="37A28746"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Availability</w:t>
            </w:r>
          </w:p>
          <w:p w14:paraId="712C68A3" w14:textId="32530CA3" w:rsidR="00E31A12" w:rsidRPr="00272CF3" w:rsidRDefault="00E31A12" w:rsidP="00E31A12">
            <w:pPr>
              <w:pStyle w:val="ListParagraph"/>
              <w:numPr>
                <w:ilvl w:val="0"/>
                <w:numId w:val="2"/>
              </w:numPr>
              <w:spacing w:line="276" w:lineRule="auto"/>
              <w:ind w:left="357" w:hanging="357"/>
              <w:jc w:val="both"/>
              <w:rPr>
                <w:rFonts w:cs="Arial"/>
              </w:rPr>
            </w:pPr>
            <w:r w:rsidRPr="00272CF3">
              <w:rPr>
                <w:rFonts w:cs="Arial"/>
              </w:rPr>
              <w:t>Availability of entire network cannot be guaranteed.</w:t>
            </w:r>
          </w:p>
          <w:p w14:paraId="4FB717BF" w14:textId="4681E9C7" w:rsidR="00E31A12" w:rsidRPr="00272CF3" w:rsidRDefault="00E31A12" w:rsidP="00E31A12">
            <w:pPr>
              <w:pStyle w:val="ListParagraph"/>
              <w:numPr>
                <w:ilvl w:val="0"/>
                <w:numId w:val="2"/>
              </w:numPr>
              <w:spacing w:line="276" w:lineRule="auto"/>
              <w:ind w:left="357" w:hanging="357"/>
              <w:jc w:val="both"/>
              <w:rPr>
                <w:rFonts w:cs="Arial"/>
              </w:rPr>
            </w:pPr>
            <w:r w:rsidRPr="00272CF3">
              <w:rPr>
                <w:rFonts w:cs="Arial"/>
              </w:rPr>
              <w:t>Poor asset condition means parts of the asset may be withdrawn on a temporary or permanent basis to reduce the safety and legal exposure of the authority</w:t>
            </w:r>
            <w:r>
              <w:rPr>
                <w:rFonts w:cs="Arial"/>
              </w:rPr>
              <w:t>.</w:t>
            </w:r>
          </w:p>
          <w:p w14:paraId="3E16CED5" w14:textId="77777777" w:rsidR="00E31A12" w:rsidRPr="00272CF3" w:rsidRDefault="00E31A12" w:rsidP="00E31A12">
            <w:pPr>
              <w:pStyle w:val="ListParagraph"/>
              <w:numPr>
                <w:ilvl w:val="0"/>
                <w:numId w:val="2"/>
              </w:numPr>
              <w:spacing w:line="276" w:lineRule="auto"/>
              <w:ind w:left="357" w:hanging="357"/>
              <w:jc w:val="both"/>
              <w:rPr>
                <w:rFonts w:cs="Arial"/>
                <w:color w:val="000000" w:themeColor="text1"/>
              </w:rPr>
            </w:pPr>
            <w:r w:rsidRPr="00272CF3">
              <w:rPr>
                <w:rFonts w:cs="Arial"/>
                <w:color w:val="000000" w:themeColor="text1"/>
              </w:rPr>
              <w:t xml:space="preserve">As no </w:t>
            </w:r>
            <w:r>
              <w:rPr>
                <w:rFonts w:cs="Arial"/>
                <w:color w:val="000000" w:themeColor="text1"/>
              </w:rPr>
              <w:t>programmed</w:t>
            </w:r>
            <w:r w:rsidRPr="00272CF3">
              <w:rPr>
                <w:rFonts w:cs="Arial"/>
                <w:color w:val="000000" w:themeColor="text1"/>
              </w:rPr>
              <w:t xml:space="preserve"> maintenance </w:t>
            </w:r>
            <w:r>
              <w:rPr>
                <w:rFonts w:cs="Arial"/>
                <w:color w:val="000000" w:themeColor="text1"/>
              </w:rPr>
              <w:t xml:space="preserve">work is </w:t>
            </w:r>
            <w:r w:rsidRPr="00272CF3">
              <w:rPr>
                <w:rFonts w:cs="Arial"/>
                <w:color w:val="000000" w:themeColor="text1"/>
              </w:rPr>
              <w:t>undertaken assets may be withdrawn from service for some time.</w:t>
            </w:r>
          </w:p>
          <w:p w14:paraId="0C09900F" w14:textId="77777777" w:rsidR="00E31A12" w:rsidRPr="00272CF3" w:rsidRDefault="00E31A12" w:rsidP="00E31A12">
            <w:pPr>
              <w:ind w:left="40"/>
              <w:jc w:val="both"/>
              <w:rPr>
                <w:rFonts w:cs="Arial"/>
              </w:rPr>
            </w:pPr>
          </w:p>
          <w:p w14:paraId="65E83848"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Condition</w:t>
            </w:r>
          </w:p>
          <w:p w14:paraId="18C42223" w14:textId="6919EE4D" w:rsidR="00E31A12" w:rsidRPr="00272CF3" w:rsidRDefault="00E31A12" w:rsidP="00E31A12">
            <w:pPr>
              <w:pStyle w:val="ListParagraph"/>
              <w:numPr>
                <w:ilvl w:val="0"/>
                <w:numId w:val="7"/>
              </w:numPr>
              <w:spacing w:line="276" w:lineRule="auto"/>
              <w:ind w:left="357" w:hanging="357"/>
              <w:jc w:val="both"/>
              <w:rPr>
                <w:rFonts w:cs="Arial"/>
              </w:rPr>
            </w:pPr>
            <w:r w:rsidRPr="00272CF3">
              <w:rPr>
                <w:rFonts w:cs="Arial"/>
              </w:rPr>
              <w:t xml:space="preserve">Condition of the asset will quickly deteriorate as investment is not keeping pace with the maintenance requirements.  </w:t>
            </w:r>
            <w:r>
              <w:rPr>
                <w:rFonts w:cs="Arial"/>
              </w:rPr>
              <w:t>This standard is no</w:t>
            </w:r>
            <w:r w:rsidRPr="00272CF3">
              <w:rPr>
                <w:rFonts w:cs="Arial"/>
                <w:color w:val="000000" w:themeColor="text1"/>
              </w:rPr>
              <w:t>t sustainable over the long term</w:t>
            </w:r>
            <w:r>
              <w:rPr>
                <w:rFonts w:cs="Arial"/>
                <w:color w:val="000000" w:themeColor="text1"/>
              </w:rPr>
              <w:t>.</w:t>
            </w:r>
          </w:p>
          <w:p w14:paraId="375E557C" w14:textId="77777777" w:rsidR="00E31A12" w:rsidRPr="00272CF3" w:rsidRDefault="00E31A12" w:rsidP="00E31A12">
            <w:pPr>
              <w:pStyle w:val="ListParagraph"/>
              <w:numPr>
                <w:ilvl w:val="0"/>
                <w:numId w:val="7"/>
              </w:numPr>
              <w:spacing w:line="276" w:lineRule="auto"/>
              <w:ind w:left="357" w:hanging="357"/>
              <w:jc w:val="both"/>
              <w:rPr>
                <w:rFonts w:cs="Arial"/>
              </w:rPr>
            </w:pPr>
            <w:r w:rsidRPr="00272CF3">
              <w:rPr>
                <w:rFonts w:cs="Arial"/>
              </w:rPr>
              <w:t xml:space="preserve">It is assumed that </w:t>
            </w:r>
            <w:r>
              <w:rPr>
                <w:rFonts w:cs="Arial"/>
              </w:rPr>
              <w:t xml:space="preserve">the rate of </w:t>
            </w:r>
            <w:r w:rsidRPr="00272CF3">
              <w:rPr>
                <w:rFonts w:cs="Arial"/>
              </w:rPr>
              <w:t xml:space="preserve">deterioration exceeds the under investment required to maintain condition by a factor of at least 50% i.e. investment </w:t>
            </w:r>
            <w:r>
              <w:rPr>
                <w:rFonts w:cs="Arial"/>
              </w:rPr>
              <w:t>£</w:t>
            </w:r>
            <w:r w:rsidRPr="00272CF3">
              <w:rPr>
                <w:rFonts w:cs="Arial"/>
              </w:rPr>
              <w:t>10m less than required means a de</w:t>
            </w:r>
            <w:r>
              <w:rPr>
                <w:rFonts w:cs="Arial"/>
              </w:rPr>
              <w:t>preciation</w:t>
            </w:r>
            <w:r w:rsidRPr="00272CF3">
              <w:rPr>
                <w:rFonts w:cs="Arial"/>
              </w:rPr>
              <w:t xml:space="preserve"> of </w:t>
            </w:r>
            <w:r>
              <w:rPr>
                <w:rFonts w:cs="Arial"/>
              </w:rPr>
              <w:t>£</w:t>
            </w:r>
            <w:r w:rsidRPr="00272CF3">
              <w:rPr>
                <w:rFonts w:cs="Arial"/>
              </w:rPr>
              <w:t>15m in asset value.</w:t>
            </w:r>
          </w:p>
          <w:p w14:paraId="39023570" w14:textId="77777777" w:rsidR="00E31A12" w:rsidRPr="00272CF3" w:rsidRDefault="00E31A12" w:rsidP="00E31A12">
            <w:pPr>
              <w:jc w:val="both"/>
              <w:rPr>
                <w:rFonts w:cs="Arial"/>
              </w:rPr>
            </w:pPr>
          </w:p>
          <w:p w14:paraId="24C8D6CA"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Asset Value</w:t>
            </w:r>
          </w:p>
          <w:p w14:paraId="47E4D9B3" w14:textId="7F0303A2" w:rsidR="00E31A12" w:rsidRPr="00272CF3" w:rsidRDefault="00E31A12" w:rsidP="00E31A12">
            <w:pPr>
              <w:pStyle w:val="ListParagraph"/>
              <w:numPr>
                <w:ilvl w:val="0"/>
                <w:numId w:val="8"/>
              </w:numPr>
              <w:spacing w:line="276" w:lineRule="auto"/>
              <w:ind w:left="357" w:hanging="357"/>
              <w:jc w:val="both"/>
              <w:rPr>
                <w:rFonts w:cs="Arial"/>
                <w:color w:val="000000" w:themeColor="text1"/>
              </w:rPr>
            </w:pPr>
            <w:r w:rsidRPr="00272CF3">
              <w:rPr>
                <w:rFonts w:cs="Arial"/>
                <w:color w:val="000000" w:themeColor="text1"/>
              </w:rPr>
              <w:t xml:space="preserve">Asset value is likely to be </w:t>
            </w:r>
            <w:r>
              <w:rPr>
                <w:rFonts w:cs="Arial"/>
                <w:color w:val="000000" w:themeColor="text1"/>
              </w:rPr>
              <w:t>depreciating</w:t>
            </w:r>
            <w:r w:rsidRPr="00272CF3">
              <w:rPr>
                <w:rFonts w:cs="Arial"/>
                <w:color w:val="000000" w:themeColor="text1"/>
              </w:rPr>
              <w:t xml:space="preserve"> more rapidly </w:t>
            </w:r>
            <w:proofErr w:type="gramStart"/>
            <w:r w:rsidRPr="00272CF3">
              <w:rPr>
                <w:rFonts w:cs="Arial"/>
                <w:color w:val="000000" w:themeColor="text1"/>
              </w:rPr>
              <w:t>as a result of</w:t>
            </w:r>
            <w:proofErr w:type="gramEnd"/>
            <w:r w:rsidRPr="00272CF3">
              <w:rPr>
                <w:rFonts w:cs="Arial"/>
                <w:color w:val="000000" w:themeColor="text1"/>
              </w:rPr>
              <w:t xml:space="preserve"> minimal investment</w:t>
            </w:r>
            <w:r w:rsidR="00162F22">
              <w:rPr>
                <w:rFonts w:cs="Arial"/>
                <w:color w:val="000000" w:themeColor="text1"/>
              </w:rPr>
              <w:t>.</w:t>
            </w:r>
          </w:p>
          <w:p w14:paraId="31808B75" w14:textId="2F50957D" w:rsidR="00E31A12" w:rsidRPr="00272CF3" w:rsidRDefault="00E31A12" w:rsidP="00E31A12">
            <w:pPr>
              <w:pStyle w:val="ListParagraph"/>
              <w:numPr>
                <w:ilvl w:val="0"/>
                <w:numId w:val="1"/>
              </w:numPr>
              <w:spacing w:line="276" w:lineRule="auto"/>
              <w:ind w:left="357" w:hanging="357"/>
              <w:jc w:val="both"/>
              <w:rPr>
                <w:rFonts w:cs="Arial"/>
                <w:color w:val="000000" w:themeColor="text1"/>
              </w:rPr>
            </w:pPr>
            <w:r>
              <w:rPr>
                <w:rFonts w:cs="Arial"/>
                <w:color w:val="000000" w:themeColor="text1"/>
              </w:rPr>
              <w:t xml:space="preserve">Maintenance </w:t>
            </w:r>
            <w:r w:rsidRPr="00272CF3">
              <w:rPr>
                <w:rFonts w:cs="Arial"/>
                <w:color w:val="000000" w:themeColor="text1"/>
              </w:rPr>
              <w:t xml:space="preserve">heavily reliant on reactive </w:t>
            </w:r>
            <w:r>
              <w:rPr>
                <w:rFonts w:cs="Arial"/>
                <w:color w:val="000000" w:themeColor="text1"/>
              </w:rPr>
              <w:t xml:space="preserve">activities which </w:t>
            </w:r>
            <w:r w:rsidRPr="00272CF3">
              <w:rPr>
                <w:rFonts w:cs="Arial"/>
                <w:color w:val="000000" w:themeColor="text1"/>
              </w:rPr>
              <w:t>result in unpredictable financial management and highest whole life costs</w:t>
            </w:r>
            <w:r w:rsidR="00162F22">
              <w:rPr>
                <w:rFonts w:cs="Arial"/>
                <w:color w:val="000000" w:themeColor="text1"/>
              </w:rPr>
              <w:t>.</w:t>
            </w:r>
          </w:p>
          <w:p w14:paraId="2B72E2C5" w14:textId="77777777" w:rsidR="00E31A12" w:rsidRPr="00272CF3" w:rsidRDefault="00E31A12" w:rsidP="00E31A12">
            <w:pPr>
              <w:pStyle w:val="ListParagraph"/>
              <w:numPr>
                <w:ilvl w:val="0"/>
                <w:numId w:val="1"/>
              </w:numPr>
              <w:spacing w:line="276" w:lineRule="auto"/>
              <w:ind w:left="357" w:hanging="357"/>
              <w:jc w:val="both"/>
              <w:rPr>
                <w:rFonts w:cs="Arial"/>
                <w:color w:val="000000" w:themeColor="text1"/>
              </w:rPr>
            </w:pPr>
            <w:r>
              <w:rPr>
                <w:rFonts w:cs="Arial"/>
                <w:color w:val="000000" w:themeColor="text1"/>
              </w:rPr>
              <w:t>The cost of i</w:t>
            </w:r>
            <w:r w:rsidRPr="00272CF3">
              <w:rPr>
                <w:rFonts w:cs="Arial"/>
                <w:color w:val="000000" w:themeColor="text1"/>
              </w:rPr>
              <w:t>nvestment needed to return the stock to the minimum standard is growing rapidly and exceeds the resources available.</w:t>
            </w:r>
          </w:p>
          <w:p w14:paraId="71725C2E" w14:textId="77777777" w:rsidR="00E31A12" w:rsidRPr="00AD5DC2" w:rsidRDefault="00E31A12" w:rsidP="00E31A12">
            <w:pPr>
              <w:jc w:val="both"/>
              <w:rPr>
                <w:rFonts w:cs="Arial"/>
              </w:rPr>
            </w:pPr>
          </w:p>
          <w:p w14:paraId="4B474EE4"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Public Perception</w:t>
            </w:r>
          </w:p>
          <w:p w14:paraId="09AA562D" w14:textId="752A2476" w:rsidR="00E31A12" w:rsidRPr="00272CF3" w:rsidRDefault="00E31A12" w:rsidP="00E31A12">
            <w:pPr>
              <w:pStyle w:val="ListParagraph"/>
              <w:numPr>
                <w:ilvl w:val="0"/>
                <w:numId w:val="8"/>
              </w:numPr>
              <w:spacing w:line="276" w:lineRule="auto"/>
              <w:ind w:left="357" w:hanging="357"/>
              <w:jc w:val="both"/>
              <w:rPr>
                <w:rFonts w:cs="Arial"/>
              </w:rPr>
            </w:pPr>
            <w:r w:rsidRPr="00272CF3">
              <w:rPr>
                <w:rFonts w:cs="Arial"/>
              </w:rPr>
              <w:t xml:space="preserve">Likely to </w:t>
            </w:r>
            <w:proofErr w:type="gramStart"/>
            <w:r w:rsidRPr="00272CF3">
              <w:rPr>
                <w:rFonts w:cs="Arial"/>
              </w:rPr>
              <w:t>be well aware that</w:t>
            </w:r>
            <w:proofErr w:type="gramEnd"/>
            <w:r w:rsidRPr="00272CF3">
              <w:rPr>
                <w:rFonts w:cs="Arial"/>
              </w:rPr>
              <w:t xml:space="preserve"> the asset is deteriorating and is becoming less available</w:t>
            </w:r>
            <w:r>
              <w:rPr>
                <w:rFonts w:cs="Arial"/>
              </w:rPr>
              <w:t>,</w:t>
            </w:r>
            <w:r w:rsidRPr="00272CF3">
              <w:rPr>
                <w:rFonts w:cs="Arial"/>
              </w:rPr>
              <w:t xml:space="preserve"> safe or fit for purpose</w:t>
            </w:r>
            <w:r w:rsidR="00162F22">
              <w:rPr>
                <w:rFonts w:cs="Arial"/>
              </w:rPr>
              <w:t>.</w:t>
            </w:r>
          </w:p>
          <w:p w14:paraId="66B8AB8D" w14:textId="798BBEB3" w:rsidR="00E31A12" w:rsidRPr="00272CF3" w:rsidRDefault="00E31A12" w:rsidP="00E31A12">
            <w:pPr>
              <w:pStyle w:val="ListParagraph"/>
              <w:numPr>
                <w:ilvl w:val="0"/>
                <w:numId w:val="8"/>
              </w:numPr>
              <w:spacing w:line="276" w:lineRule="auto"/>
              <w:ind w:left="357" w:hanging="357"/>
              <w:jc w:val="both"/>
              <w:rPr>
                <w:rFonts w:cs="Arial"/>
              </w:rPr>
            </w:pPr>
            <w:r w:rsidRPr="00272CF3">
              <w:rPr>
                <w:rFonts w:cs="Arial"/>
              </w:rPr>
              <w:t xml:space="preserve">Members </w:t>
            </w:r>
            <w:proofErr w:type="gramStart"/>
            <w:r w:rsidRPr="00272CF3">
              <w:rPr>
                <w:rFonts w:cs="Arial"/>
              </w:rPr>
              <w:t>in particular will</w:t>
            </w:r>
            <w:proofErr w:type="gramEnd"/>
            <w:r w:rsidRPr="00272CF3">
              <w:rPr>
                <w:rFonts w:cs="Arial"/>
              </w:rPr>
              <w:t xml:space="preserve"> be facing pressure for improvement and will seek to react to local pressures potentially diluting the impact on overall asset condition</w:t>
            </w:r>
            <w:r w:rsidR="00162F22">
              <w:rPr>
                <w:rFonts w:cs="Arial"/>
              </w:rPr>
              <w:t>.</w:t>
            </w:r>
          </w:p>
          <w:p w14:paraId="559A2AB2" w14:textId="77777777" w:rsidR="00E31A12" w:rsidRPr="00272CF3" w:rsidRDefault="00E31A12" w:rsidP="00E31A12">
            <w:pPr>
              <w:pStyle w:val="ListParagraph"/>
              <w:numPr>
                <w:ilvl w:val="0"/>
                <w:numId w:val="8"/>
              </w:numPr>
              <w:spacing w:line="276" w:lineRule="auto"/>
              <w:ind w:left="357" w:hanging="357"/>
              <w:jc w:val="both"/>
              <w:rPr>
                <w:rFonts w:cs="Arial"/>
              </w:rPr>
            </w:pPr>
            <w:r w:rsidRPr="00272CF3">
              <w:rPr>
                <w:rFonts w:cs="Arial"/>
              </w:rPr>
              <w:t>Complaints and claims would be expected to be high.</w:t>
            </w:r>
          </w:p>
          <w:p w14:paraId="1664CCC7" w14:textId="77777777" w:rsidR="00E31A12" w:rsidRPr="00272CF3" w:rsidRDefault="00E31A12" w:rsidP="00E31A12">
            <w:pPr>
              <w:jc w:val="both"/>
              <w:rPr>
                <w:rFonts w:cs="Arial"/>
              </w:rPr>
            </w:pPr>
          </w:p>
          <w:p w14:paraId="3410A72A" w14:textId="77777777" w:rsidR="00E31A12" w:rsidRPr="00272CF3" w:rsidRDefault="00E31A12" w:rsidP="00E31A12">
            <w:pPr>
              <w:pStyle w:val="ListParagraph"/>
              <w:numPr>
                <w:ilvl w:val="0"/>
                <w:numId w:val="25"/>
              </w:numPr>
              <w:ind w:left="357" w:hanging="357"/>
              <w:jc w:val="both"/>
              <w:rPr>
                <w:rFonts w:cs="Arial"/>
                <w:b/>
              </w:rPr>
            </w:pPr>
            <w:r w:rsidRPr="00272CF3">
              <w:rPr>
                <w:rFonts w:cs="Arial"/>
                <w:b/>
              </w:rPr>
              <w:t>Service Delivery</w:t>
            </w:r>
          </w:p>
          <w:p w14:paraId="7DE9CAEC" w14:textId="3D3C856C" w:rsidR="00E31A12" w:rsidRPr="00272CF3" w:rsidRDefault="00E31A12" w:rsidP="00E31A12">
            <w:pPr>
              <w:pStyle w:val="ListParagraph"/>
              <w:numPr>
                <w:ilvl w:val="0"/>
                <w:numId w:val="9"/>
              </w:numPr>
              <w:spacing w:line="276" w:lineRule="auto"/>
              <w:ind w:left="357" w:hanging="357"/>
              <w:jc w:val="both"/>
              <w:rPr>
                <w:rFonts w:cs="Arial"/>
                <w:color w:val="000000" w:themeColor="text1"/>
              </w:rPr>
            </w:pPr>
            <w:r w:rsidRPr="00272CF3">
              <w:rPr>
                <w:rFonts w:cs="Arial"/>
              </w:rPr>
              <w:t>The princip</w:t>
            </w:r>
            <w:r>
              <w:rPr>
                <w:rFonts w:cs="Arial"/>
              </w:rPr>
              <w:t>le</w:t>
            </w:r>
            <w:r w:rsidRPr="00272CF3">
              <w:rPr>
                <w:rFonts w:cs="Arial"/>
              </w:rPr>
              <w:t xml:space="preserve"> focus is likely to be reactive maintenance with </w:t>
            </w:r>
            <w:r w:rsidRPr="00272CF3">
              <w:rPr>
                <w:rFonts w:cs="Arial"/>
                <w:color w:val="000000" w:themeColor="text1"/>
              </w:rPr>
              <w:t xml:space="preserve">minimum or no </w:t>
            </w:r>
            <w:r>
              <w:rPr>
                <w:rFonts w:cs="Arial"/>
                <w:color w:val="000000" w:themeColor="text1"/>
              </w:rPr>
              <w:t xml:space="preserve">preventative maintenance </w:t>
            </w:r>
            <w:r w:rsidRPr="00272CF3">
              <w:rPr>
                <w:rFonts w:cs="Arial"/>
                <w:color w:val="000000" w:themeColor="text1"/>
              </w:rPr>
              <w:t xml:space="preserve">intervention to prevent asset </w:t>
            </w:r>
            <w:r w:rsidR="00162F22" w:rsidRPr="00272CF3">
              <w:rPr>
                <w:rFonts w:cs="Arial"/>
                <w:color w:val="000000" w:themeColor="text1"/>
              </w:rPr>
              <w:t>deterioration.</w:t>
            </w:r>
          </w:p>
          <w:p w14:paraId="0D1AC9AE" w14:textId="04D0E282" w:rsidR="00E31A12" w:rsidRPr="00272CF3" w:rsidRDefault="00E31A12" w:rsidP="00E31A12">
            <w:pPr>
              <w:pStyle w:val="ListParagraph"/>
              <w:numPr>
                <w:ilvl w:val="0"/>
                <w:numId w:val="9"/>
              </w:numPr>
              <w:spacing w:line="276" w:lineRule="auto"/>
              <w:ind w:left="357" w:hanging="357"/>
              <w:jc w:val="both"/>
              <w:rPr>
                <w:rFonts w:cs="Arial"/>
              </w:rPr>
            </w:pPr>
            <w:r w:rsidRPr="00272CF3">
              <w:rPr>
                <w:rFonts w:cs="Arial"/>
              </w:rPr>
              <w:t xml:space="preserve">It will not be possible to address all issues rapidly and a prioritisation of service demands will be </w:t>
            </w:r>
            <w:r w:rsidR="00162F22" w:rsidRPr="00272CF3">
              <w:rPr>
                <w:rFonts w:cs="Arial"/>
              </w:rPr>
              <w:t>required.</w:t>
            </w:r>
          </w:p>
          <w:p w14:paraId="57B7DB1F" w14:textId="42B87BC1" w:rsidR="00E31A12" w:rsidRPr="00272CF3" w:rsidRDefault="00E31A12" w:rsidP="00E31A12">
            <w:pPr>
              <w:pStyle w:val="ListParagraph"/>
              <w:numPr>
                <w:ilvl w:val="0"/>
                <w:numId w:val="9"/>
              </w:numPr>
              <w:spacing w:line="276" w:lineRule="auto"/>
              <w:ind w:left="357" w:hanging="357"/>
              <w:jc w:val="both"/>
              <w:rPr>
                <w:rFonts w:cs="Arial"/>
              </w:rPr>
            </w:pPr>
            <w:r w:rsidRPr="00272CF3">
              <w:rPr>
                <w:rFonts w:cs="Arial"/>
              </w:rPr>
              <w:t xml:space="preserve">It is likely that increasing portions of the asset are removed from service and that the trend accelerates with time as the asset </w:t>
            </w:r>
            <w:r w:rsidR="00162F22" w:rsidRPr="00272CF3">
              <w:rPr>
                <w:rFonts w:cs="Arial"/>
              </w:rPr>
              <w:t>ages.</w:t>
            </w:r>
          </w:p>
          <w:p w14:paraId="435E15F8" w14:textId="5BDDD829" w:rsidR="00E31A12" w:rsidRPr="00272CF3" w:rsidRDefault="00E31A12" w:rsidP="00E31A12">
            <w:pPr>
              <w:pStyle w:val="ListParagraph"/>
              <w:numPr>
                <w:ilvl w:val="0"/>
                <w:numId w:val="9"/>
              </w:numPr>
              <w:spacing w:line="276" w:lineRule="auto"/>
              <w:ind w:left="357" w:hanging="357"/>
              <w:jc w:val="both"/>
              <w:rPr>
                <w:rFonts w:cs="Arial"/>
              </w:rPr>
            </w:pPr>
            <w:r w:rsidRPr="00272CF3">
              <w:rPr>
                <w:rFonts w:cs="Arial"/>
              </w:rPr>
              <w:t xml:space="preserve">An increasing backlog of maintenance issues will exacerbate the service problems and lead to a further chain reaction of </w:t>
            </w:r>
            <w:r w:rsidR="00162F22" w:rsidRPr="00272CF3">
              <w:rPr>
                <w:rFonts w:cs="Arial"/>
              </w:rPr>
              <w:t>deterioration.</w:t>
            </w:r>
          </w:p>
          <w:p w14:paraId="581E714A" w14:textId="77777777" w:rsidR="00E31A12" w:rsidRDefault="00E31A12" w:rsidP="00E31A12">
            <w:pPr>
              <w:pStyle w:val="ListParagraph"/>
              <w:numPr>
                <w:ilvl w:val="0"/>
                <w:numId w:val="9"/>
              </w:numPr>
              <w:spacing w:line="276" w:lineRule="auto"/>
              <w:ind w:left="357" w:hanging="357"/>
              <w:jc w:val="both"/>
              <w:rPr>
                <w:rFonts w:cs="Arial"/>
              </w:rPr>
            </w:pPr>
            <w:r w:rsidRPr="002C3218">
              <w:rPr>
                <w:rFonts w:cs="Arial"/>
              </w:rPr>
              <w:t>De</w:t>
            </w:r>
            <w:r>
              <w:rPr>
                <w:rFonts w:cs="Arial"/>
              </w:rPr>
              <w:t>preciation</w:t>
            </w:r>
            <w:r w:rsidRPr="002C3218">
              <w:rPr>
                <w:rFonts w:cs="Arial"/>
              </w:rPr>
              <w:t xml:space="preserve"> in the asset value would be expected to exceed the under investment required</w:t>
            </w:r>
            <w:r>
              <w:rPr>
                <w:rFonts w:cs="Arial"/>
              </w:rPr>
              <w:t xml:space="preserve"> to</w:t>
            </w:r>
            <w:r w:rsidRPr="002C3218">
              <w:rPr>
                <w:rFonts w:cs="Arial"/>
              </w:rPr>
              <w:t xml:space="preserve"> achieve a </w:t>
            </w:r>
            <w:r>
              <w:rPr>
                <w:rFonts w:cs="Arial"/>
              </w:rPr>
              <w:t>FAIR</w:t>
            </w:r>
            <w:r w:rsidRPr="002C3218">
              <w:rPr>
                <w:rFonts w:cs="Arial"/>
              </w:rPr>
              <w:t xml:space="preserve"> standard</w:t>
            </w:r>
            <w:r>
              <w:rPr>
                <w:rFonts w:cs="Arial"/>
              </w:rPr>
              <w:t>. I</w:t>
            </w:r>
            <w:r w:rsidRPr="002C3218">
              <w:rPr>
                <w:rFonts w:cs="Arial"/>
              </w:rPr>
              <w:t>t would be expected that initially deterioration would outstrip underinvestment by 50% with that proportion tending to increase year on year.</w:t>
            </w:r>
          </w:p>
          <w:p w14:paraId="0B7D9F8B" w14:textId="68BA8F75" w:rsidR="00162F22" w:rsidRPr="00272CF3" w:rsidRDefault="00162F22" w:rsidP="00162F22">
            <w:pPr>
              <w:pStyle w:val="ListParagraph"/>
              <w:spacing w:line="276" w:lineRule="auto"/>
              <w:ind w:left="357"/>
              <w:jc w:val="both"/>
              <w:rPr>
                <w:rFonts w:cs="Arial"/>
              </w:rPr>
            </w:pPr>
          </w:p>
        </w:tc>
      </w:tr>
    </w:tbl>
    <w:p w14:paraId="2A00D175" w14:textId="77777777" w:rsidR="008A0D11" w:rsidRDefault="008A0D11" w:rsidP="008A0D11">
      <w:pPr>
        <w:spacing w:after="0"/>
        <w:jc w:val="both"/>
      </w:pPr>
    </w:p>
    <w:p w14:paraId="7C704A78" w14:textId="77777777" w:rsidR="004E2C43" w:rsidRDefault="004E2C43" w:rsidP="008A0D11">
      <w:pPr>
        <w:spacing w:after="0"/>
        <w:jc w:val="both"/>
      </w:pPr>
    </w:p>
    <w:p w14:paraId="2BEF4471" w14:textId="77777777" w:rsidR="00066C08" w:rsidRDefault="00066C08">
      <w:pPr>
        <w:sectPr w:rsidR="00066C08" w:rsidSect="00AB378A">
          <w:type w:val="continuous"/>
          <w:pgSz w:w="16838" w:h="11906" w:orient="landscape"/>
          <w:pgMar w:top="1134" w:right="1134" w:bottom="1134" w:left="1134" w:header="709" w:footer="709" w:gutter="0"/>
          <w:cols w:space="708"/>
          <w:docGrid w:linePitch="360"/>
        </w:sectPr>
      </w:pPr>
    </w:p>
    <w:p w14:paraId="5F5DEE26" w14:textId="5CD1A187" w:rsidR="00D27640" w:rsidRDefault="00906E5D" w:rsidP="00906E5D">
      <w:pPr>
        <w:spacing w:after="0"/>
        <w:jc w:val="right"/>
        <w:rPr>
          <w:rFonts w:cs="Arial"/>
          <w:b/>
          <w:color w:val="000000" w:themeColor="text1"/>
        </w:rPr>
      </w:pPr>
      <w:r w:rsidRPr="00906E5D">
        <w:rPr>
          <w:rFonts w:cs="Arial"/>
          <w:b/>
          <w:color w:val="000000" w:themeColor="text1"/>
        </w:rPr>
        <w:lastRenderedPageBreak/>
        <w:t>Appendix 2</w:t>
      </w:r>
    </w:p>
    <w:p w14:paraId="712EA656" w14:textId="48C444FB" w:rsidR="005F20B9" w:rsidRDefault="005F20B9" w:rsidP="00906E5D">
      <w:pPr>
        <w:spacing w:after="0"/>
        <w:jc w:val="right"/>
        <w:rPr>
          <w:rFonts w:cs="Arial"/>
          <w:b/>
          <w:color w:val="000000" w:themeColor="text1"/>
        </w:rPr>
      </w:pPr>
    </w:p>
    <w:p w14:paraId="2C972016" w14:textId="4A04DDC7" w:rsidR="0044599B" w:rsidRDefault="0044599B" w:rsidP="0044599B">
      <w:pPr>
        <w:spacing w:after="0"/>
        <w:jc w:val="center"/>
        <w:rPr>
          <w:rFonts w:cs="Arial"/>
          <w:b/>
          <w:color w:val="000000" w:themeColor="text1"/>
        </w:rPr>
      </w:pPr>
      <w:r>
        <w:rPr>
          <w:rFonts w:cs="Arial"/>
          <w:b/>
          <w:color w:val="000000" w:themeColor="text1"/>
        </w:rPr>
        <w:t>Indicative Funding Levels 2020/21 and 2021/22</w:t>
      </w:r>
    </w:p>
    <w:p w14:paraId="469A5E8C" w14:textId="77777777" w:rsidR="0044599B" w:rsidRDefault="0044599B" w:rsidP="00906E5D">
      <w:pPr>
        <w:spacing w:after="0"/>
        <w:jc w:val="right"/>
        <w:rPr>
          <w:rFonts w:cs="Arial"/>
          <w:b/>
          <w:color w:val="000000" w:themeColor="text1"/>
        </w:rPr>
      </w:pPr>
    </w:p>
    <w:p w14:paraId="0D6D1C3C" w14:textId="717886EE" w:rsidR="00D27640" w:rsidRDefault="00D27640" w:rsidP="00D27640">
      <w:pPr>
        <w:spacing w:after="0"/>
        <w:jc w:val="center"/>
        <w:rPr>
          <w:rFonts w:cs="Arial"/>
          <w:b/>
          <w:bCs/>
          <w:color w:val="000000" w:themeColor="text1"/>
        </w:rPr>
      </w:pPr>
      <w:r w:rsidRPr="00FE60A3">
        <w:rPr>
          <w:rFonts w:cs="Arial"/>
          <w:b/>
          <w:bCs/>
          <w:color w:val="000000" w:themeColor="text1"/>
        </w:rPr>
        <w:t>Apportionment</w:t>
      </w:r>
      <w:r>
        <w:rPr>
          <w:rFonts w:cs="Arial"/>
          <w:b/>
          <w:bCs/>
          <w:color w:val="000000" w:themeColor="text1"/>
        </w:rPr>
        <w:t xml:space="preserve"> of Department for Transport (</w:t>
      </w:r>
      <w:proofErr w:type="spellStart"/>
      <w:r>
        <w:rPr>
          <w:rFonts w:cs="Arial"/>
          <w:b/>
          <w:bCs/>
          <w:color w:val="000000" w:themeColor="text1"/>
        </w:rPr>
        <w:t>DfT</w:t>
      </w:r>
      <w:proofErr w:type="spellEnd"/>
      <w:r>
        <w:rPr>
          <w:rFonts w:cs="Arial"/>
          <w:b/>
          <w:bCs/>
          <w:color w:val="000000" w:themeColor="text1"/>
        </w:rPr>
        <w:t>)</w:t>
      </w:r>
    </w:p>
    <w:p w14:paraId="5484560F" w14:textId="559C4A2D" w:rsidR="00D27640" w:rsidRPr="00FE60A3" w:rsidRDefault="00D27640" w:rsidP="00D27640">
      <w:pPr>
        <w:spacing w:after="0"/>
        <w:jc w:val="center"/>
        <w:rPr>
          <w:rFonts w:cs="Arial"/>
          <w:b/>
          <w:bCs/>
          <w:color w:val="000000" w:themeColor="text1"/>
        </w:rPr>
      </w:pPr>
      <w:r>
        <w:rPr>
          <w:rFonts w:cs="Arial"/>
          <w:b/>
          <w:bCs/>
          <w:color w:val="000000" w:themeColor="text1"/>
        </w:rPr>
        <w:t>Highway Maintenance Funding – Year 1 (</w:t>
      </w:r>
      <w:r w:rsidRPr="00FE60A3">
        <w:rPr>
          <w:rFonts w:cs="Arial"/>
          <w:b/>
          <w:bCs/>
          <w:color w:val="000000" w:themeColor="text1"/>
        </w:rPr>
        <w:t>202</w:t>
      </w:r>
      <w:r>
        <w:rPr>
          <w:rFonts w:cs="Arial"/>
          <w:b/>
          <w:bCs/>
          <w:color w:val="000000" w:themeColor="text1"/>
        </w:rPr>
        <w:t>0</w:t>
      </w:r>
      <w:r w:rsidRPr="00FE60A3">
        <w:rPr>
          <w:rFonts w:cs="Arial"/>
          <w:b/>
          <w:bCs/>
          <w:color w:val="000000" w:themeColor="text1"/>
        </w:rPr>
        <w:t>/2</w:t>
      </w:r>
      <w:r>
        <w:rPr>
          <w:rFonts w:cs="Arial"/>
          <w:b/>
          <w:bCs/>
          <w:color w:val="000000" w:themeColor="text1"/>
        </w:rPr>
        <w:t>1)</w:t>
      </w:r>
    </w:p>
    <w:p w14:paraId="73E6733C" w14:textId="77777777" w:rsidR="00D27640" w:rsidRDefault="00D27640" w:rsidP="00D27640">
      <w:pPr>
        <w:spacing w:after="0"/>
        <w:rPr>
          <w:szCs w:val="24"/>
        </w:rPr>
      </w:pPr>
    </w:p>
    <w:tbl>
      <w:tblPr>
        <w:tblW w:w="9823" w:type="dxa"/>
        <w:tblLook w:val="04A0" w:firstRow="1" w:lastRow="0" w:firstColumn="1" w:lastColumn="0" w:noHBand="0" w:noVBand="1"/>
      </w:tblPr>
      <w:tblGrid>
        <w:gridCol w:w="3742"/>
        <w:gridCol w:w="1531"/>
        <w:gridCol w:w="1414"/>
        <w:gridCol w:w="1701"/>
        <w:gridCol w:w="1435"/>
      </w:tblGrid>
      <w:tr w:rsidR="00D27640" w:rsidRPr="00162F22" w14:paraId="54D8CFA8" w14:textId="77777777" w:rsidTr="00D27640">
        <w:trPr>
          <w:trHeight w:val="630"/>
        </w:trPr>
        <w:tc>
          <w:tcPr>
            <w:tcW w:w="3742" w:type="dxa"/>
            <w:tcBorders>
              <w:top w:val="single" w:sz="8" w:space="0" w:color="auto"/>
              <w:left w:val="single" w:sz="8" w:space="0" w:color="auto"/>
              <w:bottom w:val="nil"/>
              <w:right w:val="nil"/>
            </w:tcBorders>
            <w:shd w:val="clear" w:color="auto" w:fill="auto"/>
            <w:vAlign w:val="center"/>
            <w:hideMark/>
          </w:tcPr>
          <w:p w14:paraId="6ADFB350" w14:textId="77777777" w:rsidR="00D27640" w:rsidRPr="00162F22" w:rsidRDefault="00D27640"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Programme</w:t>
            </w:r>
          </w:p>
        </w:tc>
        <w:tc>
          <w:tcPr>
            <w:tcW w:w="1531" w:type="dxa"/>
            <w:tcBorders>
              <w:top w:val="single" w:sz="8" w:space="0" w:color="auto"/>
              <w:left w:val="single" w:sz="4" w:space="0" w:color="auto"/>
              <w:bottom w:val="nil"/>
              <w:right w:val="single" w:sz="4" w:space="0" w:color="auto"/>
            </w:tcBorders>
            <w:shd w:val="clear" w:color="000000" w:fill="FFFFFF"/>
            <w:vAlign w:val="center"/>
          </w:tcPr>
          <w:p w14:paraId="22EF0145" w14:textId="6F6BA186" w:rsidR="00D27640" w:rsidRPr="00162F22" w:rsidRDefault="00D27640" w:rsidP="00D27640">
            <w:pPr>
              <w:spacing w:after="0" w:line="240" w:lineRule="auto"/>
              <w:jc w:val="center"/>
              <w:rPr>
                <w:rFonts w:eastAsia="Times New Roman" w:cs="Arial"/>
                <w:b/>
                <w:bCs/>
                <w:color w:val="000000"/>
                <w:sz w:val="18"/>
                <w:szCs w:val="18"/>
                <w:lang w:eastAsia="en-GB"/>
              </w:rPr>
            </w:pPr>
            <w:proofErr w:type="spellStart"/>
            <w:r>
              <w:rPr>
                <w:rFonts w:eastAsia="Times New Roman" w:cs="Arial"/>
                <w:b/>
                <w:bCs/>
                <w:color w:val="000000"/>
                <w:sz w:val="18"/>
                <w:szCs w:val="18"/>
                <w:lang w:eastAsia="en-GB"/>
              </w:rPr>
              <w:t>DfT</w:t>
            </w:r>
            <w:proofErr w:type="spellEnd"/>
            <w:r>
              <w:rPr>
                <w:rFonts w:eastAsia="Times New Roman" w:cs="Arial"/>
                <w:b/>
                <w:bCs/>
                <w:color w:val="000000"/>
                <w:sz w:val="18"/>
                <w:szCs w:val="18"/>
                <w:lang w:eastAsia="en-GB"/>
              </w:rPr>
              <w:t xml:space="preserve"> Maintenance Needs Grant</w:t>
            </w:r>
          </w:p>
        </w:tc>
        <w:tc>
          <w:tcPr>
            <w:tcW w:w="1414" w:type="dxa"/>
            <w:tcBorders>
              <w:top w:val="single" w:sz="8" w:space="0" w:color="auto"/>
              <w:left w:val="nil"/>
              <w:bottom w:val="nil"/>
              <w:right w:val="single" w:sz="4" w:space="0" w:color="auto"/>
            </w:tcBorders>
            <w:shd w:val="clear" w:color="000000" w:fill="FFFFFF"/>
            <w:vAlign w:val="center"/>
          </w:tcPr>
          <w:p w14:paraId="46107B9F" w14:textId="3A7EBC20" w:rsidR="00D27640" w:rsidRPr="00162F22" w:rsidRDefault="00D27640" w:rsidP="00D27640">
            <w:pPr>
              <w:spacing w:after="0" w:line="240" w:lineRule="auto"/>
              <w:jc w:val="center"/>
              <w:rPr>
                <w:rFonts w:eastAsia="Times New Roman" w:cs="Arial"/>
                <w:b/>
                <w:bCs/>
                <w:color w:val="000000"/>
                <w:sz w:val="18"/>
                <w:szCs w:val="18"/>
                <w:lang w:eastAsia="en-GB"/>
              </w:rPr>
            </w:pPr>
            <w:proofErr w:type="spellStart"/>
            <w:r>
              <w:rPr>
                <w:rFonts w:eastAsia="Times New Roman" w:cs="Arial"/>
                <w:b/>
                <w:bCs/>
                <w:color w:val="000000"/>
                <w:sz w:val="18"/>
                <w:szCs w:val="18"/>
                <w:lang w:eastAsia="en-GB"/>
              </w:rPr>
              <w:t>DfT</w:t>
            </w:r>
            <w:proofErr w:type="spellEnd"/>
            <w:r>
              <w:rPr>
                <w:rFonts w:eastAsia="Times New Roman" w:cs="Arial"/>
                <w:b/>
                <w:bCs/>
                <w:color w:val="000000"/>
                <w:sz w:val="18"/>
                <w:szCs w:val="18"/>
                <w:lang w:eastAsia="en-GB"/>
              </w:rPr>
              <w:t xml:space="preserve"> Incentive Fund Band 2</w:t>
            </w:r>
            <w:r w:rsidR="00756A99">
              <w:rPr>
                <w:rFonts w:eastAsia="Times New Roman" w:cs="Arial"/>
                <w:b/>
                <w:bCs/>
                <w:color w:val="000000"/>
                <w:sz w:val="18"/>
                <w:szCs w:val="18"/>
                <w:lang w:eastAsia="en-GB"/>
              </w:rPr>
              <w:t>*</w:t>
            </w:r>
          </w:p>
        </w:tc>
        <w:tc>
          <w:tcPr>
            <w:tcW w:w="1701" w:type="dxa"/>
            <w:tcBorders>
              <w:top w:val="single" w:sz="8" w:space="0" w:color="auto"/>
              <w:left w:val="nil"/>
              <w:bottom w:val="nil"/>
              <w:right w:val="single" w:sz="4" w:space="0" w:color="auto"/>
            </w:tcBorders>
            <w:shd w:val="clear" w:color="000000" w:fill="FFFFFF"/>
            <w:vAlign w:val="center"/>
          </w:tcPr>
          <w:p w14:paraId="01636E83" w14:textId="2B03FA9B" w:rsidR="00D27640" w:rsidRPr="00162F22" w:rsidRDefault="00D27640" w:rsidP="00D27640">
            <w:pPr>
              <w:spacing w:after="0" w:line="240" w:lineRule="auto"/>
              <w:jc w:val="center"/>
              <w:rPr>
                <w:rFonts w:eastAsia="Times New Roman" w:cs="Arial"/>
                <w:b/>
                <w:bCs/>
                <w:color w:val="000000"/>
                <w:sz w:val="18"/>
                <w:szCs w:val="18"/>
                <w:lang w:eastAsia="en-GB"/>
              </w:rPr>
            </w:pPr>
            <w:proofErr w:type="spellStart"/>
            <w:r>
              <w:rPr>
                <w:rFonts w:eastAsia="Times New Roman" w:cs="Arial"/>
                <w:b/>
                <w:bCs/>
                <w:color w:val="000000"/>
                <w:sz w:val="18"/>
                <w:szCs w:val="18"/>
                <w:lang w:eastAsia="en-GB"/>
              </w:rPr>
              <w:t>DfT</w:t>
            </w:r>
            <w:proofErr w:type="spellEnd"/>
            <w:r>
              <w:rPr>
                <w:rFonts w:eastAsia="Times New Roman" w:cs="Arial"/>
                <w:b/>
                <w:bCs/>
                <w:color w:val="000000"/>
                <w:sz w:val="18"/>
                <w:szCs w:val="18"/>
                <w:lang w:eastAsia="en-GB"/>
              </w:rPr>
              <w:t xml:space="preserve"> Incentive Fund Band 3</w:t>
            </w:r>
            <w:r w:rsidR="00756A99">
              <w:rPr>
                <w:rFonts w:eastAsia="Times New Roman" w:cs="Arial"/>
                <w:b/>
                <w:bCs/>
                <w:color w:val="000000"/>
                <w:sz w:val="18"/>
                <w:szCs w:val="18"/>
                <w:lang w:eastAsia="en-GB"/>
              </w:rPr>
              <w:t>*</w:t>
            </w:r>
          </w:p>
        </w:tc>
        <w:tc>
          <w:tcPr>
            <w:tcW w:w="1435" w:type="dxa"/>
            <w:tcBorders>
              <w:top w:val="single" w:sz="8" w:space="0" w:color="auto"/>
              <w:left w:val="nil"/>
              <w:bottom w:val="nil"/>
              <w:right w:val="single" w:sz="4" w:space="0" w:color="auto"/>
            </w:tcBorders>
            <w:shd w:val="clear" w:color="000000" w:fill="FFFFFF"/>
            <w:vAlign w:val="center"/>
          </w:tcPr>
          <w:p w14:paraId="5E9352B5" w14:textId="16F1242F" w:rsidR="00D27640" w:rsidRPr="00162F22" w:rsidRDefault="00D27640"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Total (Assuming Band 3)</w:t>
            </w:r>
          </w:p>
        </w:tc>
      </w:tr>
      <w:tr w:rsidR="00D27640" w:rsidRPr="00162F22" w14:paraId="05FB2457" w14:textId="77777777" w:rsidTr="00C10DB0">
        <w:trPr>
          <w:trHeight w:val="283"/>
        </w:trPr>
        <w:tc>
          <w:tcPr>
            <w:tcW w:w="374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D2F160B" w14:textId="777777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A</w:t>
            </w:r>
            <w:r>
              <w:rPr>
                <w:rFonts w:eastAsia="Times New Roman" w:cs="Arial"/>
                <w:color w:val="000000"/>
                <w:sz w:val="18"/>
                <w:szCs w:val="18"/>
                <w:lang w:eastAsia="en-GB"/>
              </w:rPr>
              <w:t xml:space="preserve">, </w:t>
            </w:r>
            <w:r w:rsidRPr="00162F22">
              <w:rPr>
                <w:rFonts w:eastAsia="Times New Roman" w:cs="Arial"/>
                <w:color w:val="000000"/>
                <w:sz w:val="18"/>
                <w:szCs w:val="18"/>
                <w:lang w:eastAsia="en-GB"/>
              </w:rPr>
              <w:t>B</w:t>
            </w:r>
            <w:r>
              <w:rPr>
                <w:rFonts w:eastAsia="Times New Roman" w:cs="Arial"/>
                <w:color w:val="000000"/>
                <w:sz w:val="18"/>
                <w:szCs w:val="18"/>
                <w:lang w:eastAsia="en-GB"/>
              </w:rPr>
              <w:t xml:space="preserve"> &amp; </w:t>
            </w:r>
            <w:r w:rsidRPr="00162F22">
              <w:rPr>
                <w:rFonts w:eastAsia="Times New Roman" w:cs="Arial"/>
                <w:color w:val="000000"/>
                <w:sz w:val="18"/>
                <w:szCs w:val="18"/>
                <w:lang w:eastAsia="en-GB"/>
              </w:rPr>
              <w:t>C</w:t>
            </w:r>
            <w:r>
              <w:rPr>
                <w:rFonts w:eastAsia="Times New Roman" w:cs="Arial"/>
                <w:color w:val="000000"/>
                <w:sz w:val="18"/>
                <w:szCs w:val="18"/>
                <w:lang w:eastAsia="en-GB"/>
              </w:rPr>
              <w:t xml:space="preserve"> Roads</w:t>
            </w:r>
          </w:p>
        </w:tc>
        <w:tc>
          <w:tcPr>
            <w:tcW w:w="1531" w:type="dxa"/>
            <w:tcBorders>
              <w:top w:val="single" w:sz="8" w:space="0" w:color="auto"/>
              <w:left w:val="nil"/>
              <w:bottom w:val="single" w:sz="4" w:space="0" w:color="auto"/>
              <w:right w:val="single" w:sz="4" w:space="0" w:color="auto"/>
            </w:tcBorders>
            <w:shd w:val="clear" w:color="000000" w:fill="FFFFFF"/>
            <w:vAlign w:val="center"/>
            <w:hideMark/>
          </w:tcPr>
          <w:p w14:paraId="126D90DF" w14:textId="3C18D416"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4,500,062</w:t>
            </w:r>
          </w:p>
        </w:tc>
        <w:tc>
          <w:tcPr>
            <w:tcW w:w="1414" w:type="dxa"/>
            <w:tcBorders>
              <w:top w:val="single" w:sz="8" w:space="0" w:color="auto"/>
              <w:left w:val="nil"/>
              <w:bottom w:val="single" w:sz="4" w:space="0" w:color="auto"/>
              <w:right w:val="single" w:sz="4" w:space="0" w:color="auto"/>
            </w:tcBorders>
            <w:shd w:val="clear" w:color="000000" w:fill="FFFFFF"/>
            <w:vAlign w:val="center"/>
          </w:tcPr>
          <w:p w14:paraId="105B6BA5" w14:textId="6E2008AF"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1E3D4800" w14:textId="2CFA30F9"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£400,148</w:t>
            </w:r>
          </w:p>
        </w:tc>
        <w:tc>
          <w:tcPr>
            <w:tcW w:w="1435" w:type="dxa"/>
            <w:tcBorders>
              <w:top w:val="single" w:sz="8" w:space="0" w:color="auto"/>
              <w:left w:val="nil"/>
              <w:bottom w:val="single" w:sz="4" w:space="0" w:color="auto"/>
              <w:right w:val="single" w:sz="4" w:space="0" w:color="auto"/>
            </w:tcBorders>
            <w:shd w:val="clear" w:color="000000" w:fill="FFFFFF"/>
            <w:vAlign w:val="center"/>
          </w:tcPr>
          <w:p w14:paraId="2FFFDE2D" w14:textId="755A26FE" w:rsidR="00D27640" w:rsidRPr="00C10DB0" w:rsidRDefault="00C10DB0"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£4,900,210</w:t>
            </w:r>
          </w:p>
        </w:tc>
      </w:tr>
      <w:tr w:rsidR="00D27640" w:rsidRPr="00162F22" w14:paraId="13DC25A6"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0EADD5BB" w14:textId="57486FA7"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 xml:space="preserve">Urban </w:t>
            </w:r>
            <w:r w:rsidRPr="00162F22">
              <w:rPr>
                <w:rFonts w:eastAsia="Times New Roman" w:cs="Arial"/>
                <w:color w:val="000000"/>
                <w:sz w:val="18"/>
                <w:szCs w:val="18"/>
                <w:lang w:eastAsia="en-GB"/>
              </w:rPr>
              <w:t>Unclassified</w:t>
            </w:r>
          </w:p>
        </w:tc>
        <w:tc>
          <w:tcPr>
            <w:tcW w:w="1531" w:type="dxa"/>
            <w:tcBorders>
              <w:top w:val="nil"/>
              <w:left w:val="nil"/>
              <w:bottom w:val="single" w:sz="4" w:space="0" w:color="auto"/>
              <w:right w:val="single" w:sz="4" w:space="0" w:color="auto"/>
            </w:tcBorders>
            <w:shd w:val="clear" w:color="000000" w:fill="FFFFFF"/>
            <w:vAlign w:val="center"/>
            <w:hideMark/>
          </w:tcPr>
          <w:p w14:paraId="3DED1C48" w14:textId="1CFEF548"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3,734,000</w:t>
            </w:r>
          </w:p>
        </w:tc>
        <w:tc>
          <w:tcPr>
            <w:tcW w:w="1414" w:type="dxa"/>
            <w:tcBorders>
              <w:top w:val="nil"/>
              <w:left w:val="nil"/>
              <w:bottom w:val="single" w:sz="4" w:space="0" w:color="auto"/>
              <w:right w:val="single" w:sz="4" w:space="0" w:color="auto"/>
            </w:tcBorders>
            <w:shd w:val="clear" w:color="000000" w:fill="FFFFFF"/>
            <w:vAlign w:val="center"/>
          </w:tcPr>
          <w:p w14:paraId="4C62DC95" w14:textId="5DFA2466"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07B52596" w14:textId="3204B511"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£307,585</w:t>
            </w:r>
          </w:p>
        </w:tc>
        <w:tc>
          <w:tcPr>
            <w:tcW w:w="1435" w:type="dxa"/>
            <w:tcBorders>
              <w:top w:val="nil"/>
              <w:left w:val="nil"/>
              <w:bottom w:val="single" w:sz="4" w:space="0" w:color="auto"/>
              <w:right w:val="single" w:sz="4" w:space="0" w:color="auto"/>
            </w:tcBorders>
            <w:shd w:val="clear" w:color="000000" w:fill="FFFFFF"/>
            <w:vAlign w:val="center"/>
          </w:tcPr>
          <w:p w14:paraId="4B6F9CB8" w14:textId="73543F98" w:rsidR="00D27640" w:rsidRPr="00C10DB0" w:rsidRDefault="00C10DB0"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£4,041,585</w:t>
            </w:r>
          </w:p>
        </w:tc>
      </w:tr>
      <w:tr w:rsidR="00D27640" w:rsidRPr="00162F22" w14:paraId="6AEEDC33"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7F9D0CDE" w14:textId="621E12A5"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Rural</w:t>
            </w:r>
            <w:r w:rsidRPr="00162F22">
              <w:rPr>
                <w:rFonts w:eastAsia="Times New Roman" w:cs="Arial"/>
                <w:color w:val="000000"/>
                <w:sz w:val="18"/>
                <w:szCs w:val="18"/>
                <w:lang w:eastAsia="en-GB"/>
              </w:rPr>
              <w:t xml:space="preserve"> Unclassified</w:t>
            </w:r>
          </w:p>
        </w:tc>
        <w:tc>
          <w:tcPr>
            <w:tcW w:w="1531" w:type="dxa"/>
            <w:tcBorders>
              <w:top w:val="nil"/>
              <w:left w:val="nil"/>
              <w:bottom w:val="single" w:sz="4" w:space="0" w:color="auto"/>
              <w:right w:val="single" w:sz="4" w:space="0" w:color="auto"/>
            </w:tcBorders>
            <w:shd w:val="clear" w:color="000000" w:fill="FFFFFF"/>
            <w:vAlign w:val="center"/>
            <w:hideMark/>
          </w:tcPr>
          <w:p w14:paraId="4703B05C" w14:textId="08C2C042"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989,938</w:t>
            </w:r>
          </w:p>
        </w:tc>
        <w:tc>
          <w:tcPr>
            <w:tcW w:w="1414" w:type="dxa"/>
            <w:tcBorders>
              <w:top w:val="nil"/>
              <w:left w:val="nil"/>
              <w:bottom w:val="single" w:sz="4" w:space="0" w:color="auto"/>
              <w:right w:val="single" w:sz="4" w:space="0" w:color="auto"/>
            </w:tcBorders>
            <w:shd w:val="clear" w:color="000000" w:fill="FFFFFF"/>
            <w:vAlign w:val="center"/>
          </w:tcPr>
          <w:p w14:paraId="7391A23E" w14:textId="60533C96"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350A2926" w14:textId="79A32DE8" w:rsidR="00D27640" w:rsidRPr="00162F22" w:rsidRDefault="00D27640" w:rsidP="00D27640">
            <w:pPr>
              <w:spacing w:after="0" w:line="240" w:lineRule="auto"/>
              <w:jc w:val="center"/>
              <w:rPr>
                <w:rFonts w:eastAsia="Times New Roman" w:cs="Arial"/>
                <w:color w:val="000000"/>
                <w:sz w:val="18"/>
                <w:szCs w:val="18"/>
                <w:lang w:eastAsia="en-GB"/>
              </w:rPr>
            </w:pPr>
          </w:p>
        </w:tc>
        <w:tc>
          <w:tcPr>
            <w:tcW w:w="1435" w:type="dxa"/>
            <w:tcBorders>
              <w:top w:val="nil"/>
              <w:left w:val="nil"/>
              <w:bottom w:val="single" w:sz="4" w:space="0" w:color="auto"/>
              <w:right w:val="single" w:sz="4" w:space="0" w:color="auto"/>
            </w:tcBorders>
            <w:shd w:val="clear" w:color="000000" w:fill="FFFFFF"/>
            <w:vAlign w:val="center"/>
          </w:tcPr>
          <w:p w14:paraId="61D95DC3" w14:textId="01EA993A"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£989,938</w:t>
            </w:r>
          </w:p>
        </w:tc>
      </w:tr>
      <w:tr w:rsidR="00D27640" w:rsidRPr="00162F22" w14:paraId="5D3BF4B0"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688292FA" w14:textId="777777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Footways</w:t>
            </w:r>
          </w:p>
        </w:tc>
        <w:tc>
          <w:tcPr>
            <w:tcW w:w="1531" w:type="dxa"/>
            <w:tcBorders>
              <w:top w:val="nil"/>
              <w:left w:val="nil"/>
              <w:bottom w:val="single" w:sz="4" w:space="0" w:color="auto"/>
              <w:right w:val="single" w:sz="4" w:space="0" w:color="auto"/>
            </w:tcBorders>
            <w:shd w:val="clear" w:color="000000" w:fill="FFFFFF"/>
            <w:vAlign w:val="center"/>
            <w:hideMark/>
          </w:tcPr>
          <w:p w14:paraId="744D63CC" w14:textId="3D10FC8E"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720,000</w:t>
            </w:r>
          </w:p>
        </w:tc>
        <w:tc>
          <w:tcPr>
            <w:tcW w:w="1414" w:type="dxa"/>
            <w:tcBorders>
              <w:top w:val="nil"/>
              <w:left w:val="nil"/>
              <w:bottom w:val="single" w:sz="4" w:space="0" w:color="auto"/>
              <w:right w:val="single" w:sz="4" w:space="0" w:color="auto"/>
            </w:tcBorders>
            <w:shd w:val="clear" w:color="000000" w:fill="FFFFFF"/>
            <w:vAlign w:val="center"/>
          </w:tcPr>
          <w:p w14:paraId="57FA874A" w14:textId="74483708"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4124F73A" w14:textId="5DCB4779"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62,970</w:t>
            </w:r>
          </w:p>
        </w:tc>
        <w:tc>
          <w:tcPr>
            <w:tcW w:w="1435" w:type="dxa"/>
            <w:tcBorders>
              <w:top w:val="nil"/>
              <w:left w:val="nil"/>
              <w:bottom w:val="single" w:sz="4" w:space="0" w:color="auto"/>
              <w:right w:val="single" w:sz="4" w:space="0" w:color="auto"/>
            </w:tcBorders>
            <w:shd w:val="clear" w:color="000000" w:fill="FFFFFF"/>
            <w:vAlign w:val="center"/>
          </w:tcPr>
          <w:p w14:paraId="422D41A3" w14:textId="2782F3A9"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£782,970</w:t>
            </w:r>
          </w:p>
        </w:tc>
      </w:tr>
      <w:tr w:rsidR="00D27640" w:rsidRPr="00162F22" w14:paraId="4F3F2FD9"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6026E20C" w14:textId="61EB2C36"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Moss Roads</w:t>
            </w:r>
          </w:p>
        </w:tc>
        <w:tc>
          <w:tcPr>
            <w:tcW w:w="1531" w:type="dxa"/>
            <w:tcBorders>
              <w:top w:val="nil"/>
              <w:left w:val="nil"/>
              <w:bottom w:val="single" w:sz="4" w:space="0" w:color="auto"/>
              <w:right w:val="single" w:sz="4" w:space="0" w:color="auto"/>
            </w:tcBorders>
            <w:shd w:val="clear" w:color="000000" w:fill="FFFFFF"/>
            <w:vAlign w:val="center"/>
            <w:hideMark/>
          </w:tcPr>
          <w:p w14:paraId="4EBAC598" w14:textId="00968624"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00C10DB0">
              <w:rPr>
                <w:rFonts w:eastAsia="Times New Roman" w:cs="Arial"/>
                <w:color w:val="000000"/>
                <w:sz w:val="18"/>
                <w:szCs w:val="18"/>
                <w:lang w:eastAsia="en-GB"/>
              </w:rPr>
              <w:t>75</w:t>
            </w:r>
            <w:r>
              <w:rPr>
                <w:rFonts w:eastAsia="Times New Roman" w:cs="Arial"/>
                <w:color w:val="000000"/>
                <w:sz w:val="18"/>
                <w:szCs w:val="18"/>
                <w:lang w:eastAsia="en-GB"/>
              </w:rPr>
              <w:t>0</w:t>
            </w:r>
            <w:r w:rsidR="00C10DB0">
              <w:rPr>
                <w:rFonts w:eastAsia="Times New Roman" w:cs="Arial"/>
                <w:color w:val="000000"/>
                <w:sz w:val="18"/>
                <w:szCs w:val="18"/>
                <w:lang w:eastAsia="en-GB"/>
              </w:rPr>
              <w:t>,000</w:t>
            </w:r>
          </w:p>
        </w:tc>
        <w:tc>
          <w:tcPr>
            <w:tcW w:w="1414" w:type="dxa"/>
            <w:tcBorders>
              <w:top w:val="nil"/>
              <w:left w:val="nil"/>
              <w:bottom w:val="single" w:sz="4" w:space="0" w:color="auto"/>
              <w:right w:val="single" w:sz="4" w:space="0" w:color="auto"/>
            </w:tcBorders>
            <w:shd w:val="clear" w:color="000000" w:fill="FFFFFF"/>
            <w:vAlign w:val="center"/>
          </w:tcPr>
          <w:p w14:paraId="6E3B2CE3" w14:textId="1174275E"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6F35E40B" w14:textId="5A81C3A6" w:rsidR="00D27640" w:rsidRPr="00162F22" w:rsidRDefault="00D27640" w:rsidP="00D27640">
            <w:pPr>
              <w:spacing w:after="0" w:line="240" w:lineRule="auto"/>
              <w:jc w:val="center"/>
              <w:rPr>
                <w:rFonts w:eastAsia="Times New Roman" w:cs="Arial"/>
                <w:color w:val="000000"/>
                <w:sz w:val="18"/>
                <w:szCs w:val="18"/>
                <w:lang w:eastAsia="en-GB"/>
              </w:rPr>
            </w:pPr>
          </w:p>
        </w:tc>
        <w:tc>
          <w:tcPr>
            <w:tcW w:w="1435" w:type="dxa"/>
            <w:tcBorders>
              <w:top w:val="nil"/>
              <w:left w:val="nil"/>
              <w:bottom w:val="single" w:sz="4" w:space="0" w:color="auto"/>
              <w:right w:val="single" w:sz="4" w:space="0" w:color="auto"/>
            </w:tcBorders>
            <w:shd w:val="clear" w:color="000000" w:fill="FFFFFF"/>
            <w:vAlign w:val="center"/>
          </w:tcPr>
          <w:p w14:paraId="017A6346" w14:textId="7E62CB8B"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£750,000</w:t>
            </w:r>
          </w:p>
        </w:tc>
      </w:tr>
      <w:tr w:rsidR="00D27640" w:rsidRPr="00162F22" w14:paraId="55B9A690"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tcPr>
          <w:p w14:paraId="6E5CC13F" w14:textId="2CBD2754"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Drainage</w:t>
            </w:r>
          </w:p>
        </w:tc>
        <w:tc>
          <w:tcPr>
            <w:tcW w:w="1531" w:type="dxa"/>
            <w:tcBorders>
              <w:top w:val="nil"/>
              <w:left w:val="nil"/>
              <w:bottom w:val="single" w:sz="4" w:space="0" w:color="auto"/>
              <w:right w:val="single" w:sz="4" w:space="0" w:color="auto"/>
            </w:tcBorders>
            <w:shd w:val="clear" w:color="000000" w:fill="FFFFFF"/>
            <w:vAlign w:val="center"/>
          </w:tcPr>
          <w:p w14:paraId="776E7210" w14:textId="79AEFC9F"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£440,000</w:t>
            </w:r>
          </w:p>
        </w:tc>
        <w:tc>
          <w:tcPr>
            <w:tcW w:w="1414" w:type="dxa"/>
            <w:tcBorders>
              <w:top w:val="nil"/>
              <w:left w:val="nil"/>
              <w:bottom w:val="single" w:sz="4" w:space="0" w:color="auto"/>
              <w:right w:val="single" w:sz="4" w:space="0" w:color="auto"/>
            </w:tcBorders>
            <w:shd w:val="clear" w:color="000000" w:fill="FFFFFF"/>
            <w:vAlign w:val="center"/>
          </w:tcPr>
          <w:p w14:paraId="631ACA78" w14:textId="322D4B71" w:rsid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£60,000</w:t>
            </w:r>
          </w:p>
        </w:tc>
        <w:tc>
          <w:tcPr>
            <w:tcW w:w="1701" w:type="dxa"/>
            <w:tcBorders>
              <w:top w:val="nil"/>
              <w:left w:val="nil"/>
              <w:bottom w:val="single" w:sz="4" w:space="0" w:color="auto"/>
              <w:right w:val="single" w:sz="4" w:space="0" w:color="auto"/>
            </w:tcBorders>
            <w:shd w:val="clear" w:color="000000" w:fill="FFFFFF"/>
            <w:vAlign w:val="center"/>
          </w:tcPr>
          <w:p w14:paraId="15D644C6" w14:textId="5DA45511" w:rsid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£60,000</w:t>
            </w:r>
          </w:p>
        </w:tc>
        <w:tc>
          <w:tcPr>
            <w:tcW w:w="1435" w:type="dxa"/>
            <w:tcBorders>
              <w:top w:val="nil"/>
              <w:left w:val="nil"/>
              <w:bottom w:val="single" w:sz="4" w:space="0" w:color="auto"/>
              <w:right w:val="single" w:sz="4" w:space="0" w:color="auto"/>
            </w:tcBorders>
            <w:shd w:val="clear" w:color="000000" w:fill="FFFFFF"/>
            <w:vAlign w:val="center"/>
          </w:tcPr>
          <w:p w14:paraId="581917FA" w14:textId="228AD4C3"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£500,000</w:t>
            </w:r>
          </w:p>
        </w:tc>
      </w:tr>
      <w:tr w:rsidR="00D27640" w:rsidRPr="00162F22" w14:paraId="41AAB5BB"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461B733F" w14:textId="777777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Street Lighting</w:t>
            </w:r>
          </w:p>
        </w:tc>
        <w:tc>
          <w:tcPr>
            <w:tcW w:w="1531" w:type="dxa"/>
            <w:tcBorders>
              <w:top w:val="nil"/>
              <w:left w:val="nil"/>
              <w:bottom w:val="single" w:sz="4" w:space="0" w:color="auto"/>
              <w:right w:val="single" w:sz="4" w:space="0" w:color="auto"/>
            </w:tcBorders>
            <w:shd w:val="clear" w:color="000000" w:fill="FFFFFF"/>
            <w:vAlign w:val="center"/>
            <w:hideMark/>
          </w:tcPr>
          <w:p w14:paraId="26210DE8" w14:textId="2E850AC5"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1</w:t>
            </w:r>
            <w:r w:rsidRPr="00162F22">
              <w:rPr>
                <w:rFonts w:eastAsia="Times New Roman" w:cs="Arial"/>
                <w:color w:val="000000"/>
                <w:sz w:val="18"/>
                <w:szCs w:val="18"/>
                <w:lang w:eastAsia="en-GB"/>
              </w:rPr>
              <w:t>,000,000</w:t>
            </w:r>
          </w:p>
        </w:tc>
        <w:tc>
          <w:tcPr>
            <w:tcW w:w="1414" w:type="dxa"/>
            <w:tcBorders>
              <w:top w:val="nil"/>
              <w:left w:val="nil"/>
              <w:bottom w:val="single" w:sz="4" w:space="0" w:color="auto"/>
              <w:right w:val="single" w:sz="4" w:space="0" w:color="auto"/>
            </w:tcBorders>
            <w:shd w:val="clear" w:color="000000" w:fill="FFFFFF"/>
            <w:vAlign w:val="center"/>
          </w:tcPr>
          <w:p w14:paraId="5D1F44D6" w14:textId="3017058F"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13A0B17E" w14:textId="046059E7" w:rsidR="00D27640" w:rsidRPr="00162F22" w:rsidRDefault="00D27640" w:rsidP="00D27640">
            <w:pPr>
              <w:spacing w:after="0" w:line="240" w:lineRule="auto"/>
              <w:jc w:val="center"/>
              <w:rPr>
                <w:rFonts w:eastAsia="Times New Roman" w:cs="Arial"/>
                <w:color w:val="000000"/>
                <w:sz w:val="18"/>
                <w:szCs w:val="18"/>
                <w:lang w:eastAsia="en-GB"/>
              </w:rPr>
            </w:pPr>
          </w:p>
        </w:tc>
        <w:tc>
          <w:tcPr>
            <w:tcW w:w="1435" w:type="dxa"/>
            <w:tcBorders>
              <w:top w:val="nil"/>
              <w:left w:val="nil"/>
              <w:bottom w:val="single" w:sz="4" w:space="0" w:color="auto"/>
              <w:right w:val="single" w:sz="4" w:space="0" w:color="auto"/>
            </w:tcBorders>
            <w:shd w:val="clear" w:color="000000" w:fill="FFFFFF"/>
            <w:vAlign w:val="center"/>
          </w:tcPr>
          <w:p w14:paraId="16C5E9E5" w14:textId="5650243A"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£1,000,000</w:t>
            </w:r>
          </w:p>
        </w:tc>
      </w:tr>
      <w:tr w:rsidR="00D27640" w:rsidRPr="00162F22" w14:paraId="4F0BC25E"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tcPr>
          <w:p w14:paraId="5FDAB138" w14:textId="2FD37DD1"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Traffic Signals</w:t>
            </w:r>
          </w:p>
        </w:tc>
        <w:tc>
          <w:tcPr>
            <w:tcW w:w="1531" w:type="dxa"/>
            <w:tcBorders>
              <w:top w:val="nil"/>
              <w:left w:val="nil"/>
              <w:bottom w:val="single" w:sz="4" w:space="0" w:color="auto"/>
              <w:right w:val="single" w:sz="4" w:space="0" w:color="auto"/>
            </w:tcBorders>
            <w:shd w:val="clear" w:color="000000" w:fill="FFFFFF"/>
            <w:vAlign w:val="center"/>
          </w:tcPr>
          <w:p w14:paraId="63CDAB53" w14:textId="6FD67F4E"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£100,000</w:t>
            </w:r>
          </w:p>
        </w:tc>
        <w:tc>
          <w:tcPr>
            <w:tcW w:w="1414" w:type="dxa"/>
            <w:tcBorders>
              <w:top w:val="nil"/>
              <w:left w:val="nil"/>
              <w:bottom w:val="single" w:sz="4" w:space="0" w:color="auto"/>
              <w:right w:val="single" w:sz="4" w:space="0" w:color="auto"/>
            </w:tcBorders>
            <w:shd w:val="clear" w:color="000000" w:fill="FFFFFF"/>
            <w:vAlign w:val="center"/>
          </w:tcPr>
          <w:p w14:paraId="64328443" w14:textId="77777777"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108FAE0" w14:textId="61601D45"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£200,000</w:t>
            </w:r>
          </w:p>
        </w:tc>
        <w:tc>
          <w:tcPr>
            <w:tcW w:w="1435" w:type="dxa"/>
            <w:tcBorders>
              <w:top w:val="nil"/>
              <w:left w:val="nil"/>
              <w:bottom w:val="single" w:sz="4" w:space="0" w:color="auto"/>
              <w:right w:val="single" w:sz="4" w:space="0" w:color="auto"/>
            </w:tcBorders>
            <w:shd w:val="clear" w:color="000000" w:fill="FFFFFF"/>
            <w:vAlign w:val="center"/>
          </w:tcPr>
          <w:p w14:paraId="508D1281" w14:textId="0CEC2A6B"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£300,000</w:t>
            </w:r>
          </w:p>
        </w:tc>
      </w:tr>
      <w:tr w:rsidR="00D27640" w:rsidRPr="00162F22" w14:paraId="113C62D1"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4D0AA1F9" w14:textId="777777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Bridges &amp; Structures</w:t>
            </w:r>
          </w:p>
        </w:tc>
        <w:tc>
          <w:tcPr>
            <w:tcW w:w="1531" w:type="dxa"/>
            <w:tcBorders>
              <w:top w:val="nil"/>
              <w:left w:val="nil"/>
              <w:bottom w:val="single" w:sz="4" w:space="0" w:color="auto"/>
              <w:right w:val="single" w:sz="4" w:space="0" w:color="auto"/>
            </w:tcBorders>
            <w:shd w:val="clear" w:color="000000" w:fill="FFFFFF"/>
            <w:vAlign w:val="center"/>
            <w:hideMark/>
          </w:tcPr>
          <w:p w14:paraId="2BF49B89" w14:textId="7B1D76BD"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2</w:t>
            </w:r>
            <w:r w:rsidRPr="00162F22">
              <w:rPr>
                <w:rFonts w:eastAsia="Times New Roman" w:cs="Arial"/>
                <w:color w:val="000000"/>
                <w:sz w:val="18"/>
                <w:szCs w:val="18"/>
                <w:lang w:eastAsia="en-GB"/>
              </w:rPr>
              <w:t>,</w:t>
            </w:r>
            <w:r w:rsidR="00C10DB0">
              <w:rPr>
                <w:rFonts w:eastAsia="Times New Roman" w:cs="Arial"/>
                <w:color w:val="000000"/>
                <w:sz w:val="18"/>
                <w:szCs w:val="18"/>
                <w:lang w:eastAsia="en-GB"/>
              </w:rPr>
              <w:t>4</w:t>
            </w:r>
            <w:r w:rsidRPr="00162F22">
              <w:rPr>
                <w:rFonts w:eastAsia="Times New Roman" w:cs="Arial"/>
                <w:color w:val="000000"/>
                <w:sz w:val="18"/>
                <w:szCs w:val="18"/>
                <w:lang w:eastAsia="en-GB"/>
              </w:rPr>
              <w:t>00,000</w:t>
            </w:r>
          </w:p>
        </w:tc>
        <w:tc>
          <w:tcPr>
            <w:tcW w:w="1414" w:type="dxa"/>
            <w:tcBorders>
              <w:top w:val="nil"/>
              <w:left w:val="nil"/>
              <w:bottom w:val="single" w:sz="4" w:space="0" w:color="auto"/>
              <w:right w:val="single" w:sz="4" w:space="0" w:color="auto"/>
            </w:tcBorders>
            <w:shd w:val="clear" w:color="000000" w:fill="FFFFFF"/>
            <w:vAlign w:val="center"/>
          </w:tcPr>
          <w:p w14:paraId="61FF9495" w14:textId="30054E47"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£600,000</w:t>
            </w:r>
          </w:p>
        </w:tc>
        <w:tc>
          <w:tcPr>
            <w:tcW w:w="1701" w:type="dxa"/>
            <w:tcBorders>
              <w:top w:val="nil"/>
              <w:left w:val="nil"/>
              <w:bottom w:val="single" w:sz="4" w:space="0" w:color="auto"/>
              <w:right w:val="single" w:sz="4" w:space="0" w:color="auto"/>
            </w:tcBorders>
            <w:shd w:val="clear" w:color="auto" w:fill="auto"/>
            <w:noWrap/>
            <w:vAlign w:val="center"/>
            <w:hideMark/>
          </w:tcPr>
          <w:p w14:paraId="24F412B7" w14:textId="18698676"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600,000</w:t>
            </w:r>
          </w:p>
        </w:tc>
        <w:tc>
          <w:tcPr>
            <w:tcW w:w="1435" w:type="dxa"/>
            <w:tcBorders>
              <w:top w:val="nil"/>
              <w:left w:val="nil"/>
              <w:bottom w:val="single" w:sz="4" w:space="0" w:color="auto"/>
              <w:right w:val="single" w:sz="4" w:space="0" w:color="auto"/>
            </w:tcBorders>
            <w:shd w:val="clear" w:color="000000" w:fill="FFFFFF"/>
            <w:vAlign w:val="center"/>
          </w:tcPr>
          <w:p w14:paraId="427EB040" w14:textId="56A93D43"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£3,000,000</w:t>
            </w:r>
          </w:p>
        </w:tc>
      </w:tr>
      <w:tr w:rsidR="00D27640" w:rsidRPr="00162F22" w14:paraId="3D6B771F"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54A79E0D" w14:textId="48A4E402"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Structural Defects</w:t>
            </w:r>
          </w:p>
        </w:tc>
        <w:tc>
          <w:tcPr>
            <w:tcW w:w="1531" w:type="dxa"/>
            <w:tcBorders>
              <w:top w:val="nil"/>
              <w:left w:val="nil"/>
              <w:bottom w:val="single" w:sz="4" w:space="0" w:color="auto"/>
              <w:right w:val="single" w:sz="4" w:space="0" w:color="auto"/>
            </w:tcBorders>
            <w:shd w:val="clear" w:color="000000" w:fill="FFFFFF"/>
            <w:vAlign w:val="center"/>
            <w:hideMark/>
          </w:tcPr>
          <w:p w14:paraId="3D67466B" w14:textId="777777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2,000</w:t>
            </w:r>
            <w:r w:rsidRPr="00162F22">
              <w:rPr>
                <w:rFonts w:eastAsia="Times New Roman" w:cs="Arial"/>
                <w:color w:val="000000"/>
                <w:sz w:val="18"/>
                <w:szCs w:val="18"/>
                <w:lang w:eastAsia="en-GB"/>
              </w:rPr>
              <w:t>,000</w:t>
            </w:r>
          </w:p>
        </w:tc>
        <w:tc>
          <w:tcPr>
            <w:tcW w:w="1414" w:type="dxa"/>
            <w:tcBorders>
              <w:top w:val="nil"/>
              <w:left w:val="nil"/>
              <w:bottom w:val="single" w:sz="4" w:space="0" w:color="auto"/>
              <w:right w:val="single" w:sz="4" w:space="0" w:color="auto"/>
            </w:tcBorders>
            <w:shd w:val="clear" w:color="000000" w:fill="FFFFFF"/>
            <w:vAlign w:val="center"/>
          </w:tcPr>
          <w:p w14:paraId="3E054DB7" w14:textId="07FE39CB"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14:paraId="6C832CF6" w14:textId="23582121" w:rsidR="00D27640" w:rsidRPr="00162F22" w:rsidRDefault="00D27640" w:rsidP="00D27640">
            <w:pPr>
              <w:spacing w:after="0" w:line="240" w:lineRule="auto"/>
              <w:jc w:val="center"/>
              <w:rPr>
                <w:rFonts w:eastAsia="Times New Roman" w:cs="Arial"/>
                <w:color w:val="000000"/>
                <w:sz w:val="18"/>
                <w:szCs w:val="18"/>
                <w:lang w:eastAsia="en-GB"/>
              </w:rPr>
            </w:pPr>
          </w:p>
        </w:tc>
        <w:tc>
          <w:tcPr>
            <w:tcW w:w="1435" w:type="dxa"/>
            <w:tcBorders>
              <w:top w:val="nil"/>
              <w:left w:val="nil"/>
              <w:bottom w:val="single" w:sz="4" w:space="0" w:color="auto"/>
              <w:right w:val="single" w:sz="4" w:space="0" w:color="auto"/>
            </w:tcBorders>
            <w:shd w:val="clear" w:color="000000" w:fill="FFFFFF"/>
            <w:vAlign w:val="center"/>
          </w:tcPr>
          <w:p w14:paraId="7F60BE24" w14:textId="78FAC7E3"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£2,000,000</w:t>
            </w:r>
          </w:p>
        </w:tc>
      </w:tr>
      <w:tr w:rsidR="00D27640" w:rsidRPr="00162F22" w14:paraId="4E17DD96" w14:textId="77777777" w:rsidTr="00756A99">
        <w:trPr>
          <w:trHeight w:val="283"/>
        </w:trPr>
        <w:tc>
          <w:tcPr>
            <w:tcW w:w="3742" w:type="dxa"/>
            <w:tcBorders>
              <w:top w:val="single" w:sz="4" w:space="0" w:color="auto"/>
              <w:left w:val="single" w:sz="8" w:space="0" w:color="auto"/>
              <w:bottom w:val="single" w:sz="4" w:space="0" w:color="auto"/>
              <w:right w:val="single" w:sz="4" w:space="0" w:color="auto"/>
            </w:tcBorders>
            <w:shd w:val="clear" w:color="000000" w:fill="FFFFFF"/>
            <w:vAlign w:val="center"/>
          </w:tcPr>
          <w:p w14:paraId="5EC5A678" w14:textId="07C34BA0" w:rsidR="00D27640" w:rsidRPr="005F0777"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 xml:space="preserve">Safety Camera Maintenance </w:t>
            </w:r>
          </w:p>
        </w:tc>
        <w:tc>
          <w:tcPr>
            <w:tcW w:w="1531" w:type="dxa"/>
            <w:tcBorders>
              <w:top w:val="single" w:sz="4" w:space="0" w:color="auto"/>
              <w:left w:val="nil"/>
              <w:bottom w:val="single" w:sz="4" w:space="0" w:color="auto"/>
              <w:right w:val="single" w:sz="4" w:space="0" w:color="auto"/>
            </w:tcBorders>
            <w:shd w:val="clear" w:color="000000" w:fill="FFFFFF"/>
            <w:noWrap/>
            <w:vAlign w:val="center"/>
          </w:tcPr>
          <w:p w14:paraId="5F902B00" w14:textId="008837EF"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00C10DB0">
              <w:rPr>
                <w:rFonts w:eastAsia="Times New Roman" w:cs="Arial"/>
                <w:color w:val="000000"/>
                <w:sz w:val="18"/>
                <w:szCs w:val="18"/>
                <w:lang w:eastAsia="en-GB"/>
              </w:rPr>
              <w:t>30,000</w:t>
            </w:r>
          </w:p>
        </w:tc>
        <w:tc>
          <w:tcPr>
            <w:tcW w:w="1414" w:type="dxa"/>
            <w:tcBorders>
              <w:top w:val="single" w:sz="4" w:space="0" w:color="auto"/>
              <w:left w:val="nil"/>
              <w:bottom w:val="single" w:sz="4" w:space="0" w:color="auto"/>
              <w:right w:val="single" w:sz="4" w:space="0" w:color="auto"/>
            </w:tcBorders>
            <w:shd w:val="clear" w:color="000000" w:fill="FFFFFF"/>
            <w:noWrap/>
            <w:vAlign w:val="center"/>
          </w:tcPr>
          <w:p w14:paraId="38CE7DEF" w14:textId="3EFBD0A0"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single" w:sz="4" w:space="0" w:color="auto"/>
              <w:left w:val="nil"/>
              <w:bottom w:val="single" w:sz="4" w:space="0" w:color="auto"/>
              <w:right w:val="single" w:sz="4" w:space="0" w:color="auto"/>
            </w:tcBorders>
            <w:shd w:val="clear" w:color="000000" w:fill="FFFFFF"/>
            <w:noWrap/>
          </w:tcPr>
          <w:p w14:paraId="64C218FB" w14:textId="470144AC" w:rsidR="00D27640" w:rsidRPr="00162F22" w:rsidRDefault="00D27640" w:rsidP="00D27640">
            <w:pPr>
              <w:spacing w:after="0" w:line="240" w:lineRule="auto"/>
              <w:jc w:val="center"/>
              <w:rPr>
                <w:rFonts w:eastAsia="Times New Roman" w:cs="Arial"/>
                <w:color w:val="000000"/>
                <w:sz w:val="18"/>
                <w:szCs w:val="18"/>
                <w:lang w:eastAsia="en-GB"/>
              </w:rPr>
            </w:pPr>
            <w:r w:rsidRPr="00E47013">
              <w:rPr>
                <w:rFonts w:eastAsia="Times New Roman" w:cs="Arial"/>
                <w:color w:val="000000"/>
                <w:sz w:val="18"/>
                <w:szCs w:val="18"/>
                <w:lang w:eastAsia="en-GB"/>
              </w:rPr>
              <w:t>£</w:t>
            </w:r>
            <w:r w:rsidR="00C10DB0">
              <w:rPr>
                <w:rFonts w:eastAsia="Times New Roman" w:cs="Arial"/>
                <w:color w:val="000000"/>
                <w:sz w:val="18"/>
                <w:szCs w:val="18"/>
                <w:lang w:eastAsia="en-GB"/>
              </w:rPr>
              <w:t>20,000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05454940" w14:textId="3CA57F74" w:rsidR="00D27640" w:rsidRPr="00C10DB0" w:rsidRDefault="00756A99" w:rsidP="00756A99">
            <w:pPr>
              <w:spacing w:after="0" w:line="240" w:lineRule="auto"/>
              <w:jc w:val="center"/>
              <w:rPr>
                <w:rFonts w:eastAsia="Times New Roman" w:cs="Arial"/>
                <w:b/>
                <w:bCs/>
                <w:sz w:val="18"/>
                <w:szCs w:val="18"/>
                <w:lang w:eastAsia="en-GB"/>
              </w:rPr>
            </w:pPr>
            <w:r>
              <w:rPr>
                <w:rFonts w:eastAsia="Times New Roman" w:cs="Arial"/>
                <w:b/>
                <w:bCs/>
                <w:sz w:val="18"/>
                <w:szCs w:val="18"/>
                <w:lang w:eastAsia="en-GB"/>
              </w:rPr>
              <w:t>£50,000</w:t>
            </w:r>
          </w:p>
        </w:tc>
      </w:tr>
      <w:tr w:rsidR="00D27640" w:rsidRPr="00162F22" w14:paraId="3A8E4DFC" w14:textId="77777777" w:rsidTr="00C10DB0">
        <w:trPr>
          <w:trHeight w:val="283"/>
        </w:trPr>
        <w:tc>
          <w:tcPr>
            <w:tcW w:w="3742" w:type="dxa"/>
            <w:tcBorders>
              <w:top w:val="single" w:sz="4" w:space="0" w:color="auto"/>
              <w:left w:val="single" w:sz="8" w:space="0" w:color="auto"/>
              <w:bottom w:val="nil"/>
              <w:right w:val="single" w:sz="4" w:space="0" w:color="auto"/>
            </w:tcBorders>
            <w:shd w:val="clear" w:color="000000" w:fill="FFFFFF"/>
            <w:vAlign w:val="center"/>
            <w:hideMark/>
          </w:tcPr>
          <w:p w14:paraId="049CAC52" w14:textId="55EA3E4F"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Geotech</w:t>
            </w:r>
            <w:r>
              <w:rPr>
                <w:rFonts w:eastAsia="Times New Roman" w:cs="Arial"/>
                <w:color w:val="000000"/>
                <w:sz w:val="18"/>
                <w:szCs w:val="18"/>
                <w:lang w:eastAsia="en-GB"/>
              </w:rPr>
              <w:t xml:space="preserve"> / S</w:t>
            </w:r>
            <w:r w:rsidRPr="00162F22">
              <w:rPr>
                <w:rFonts w:eastAsia="Times New Roman" w:cs="Arial"/>
                <w:color w:val="000000"/>
                <w:sz w:val="18"/>
                <w:szCs w:val="18"/>
                <w:lang w:eastAsia="en-GB"/>
              </w:rPr>
              <w:t>urveys</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14:paraId="098B7DB0" w14:textId="235D6679"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00C10DB0">
              <w:rPr>
                <w:rFonts w:eastAsia="Times New Roman" w:cs="Arial"/>
                <w:color w:val="000000"/>
                <w:sz w:val="18"/>
                <w:szCs w:val="18"/>
                <w:lang w:eastAsia="en-GB"/>
              </w:rPr>
              <w:t>8</w:t>
            </w:r>
            <w:r>
              <w:rPr>
                <w:rFonts w:eastAsia="Times New Roman" w:cs="Arial"/>
                <w:color w:val="000000"/>
                <w:sz w:val="18"/>
                <w:szCs w:val="18"/>
                <w:lang w:eastAsia="en-GB"/>
              </w:rPr>
              <w:t>0</w:t>
            </w:r>
            <w:r w:rsidR="00C10DB0">
              <w:rPr>
                <w:rFonts w:eastAsia="Times New Roman" w:cs="Arial"/>
                <w:color w:val="000000"/>
                <w:sz w:val="18"/>
                <w:szCs w:val="18"/>
                <w:lang w:eastAsia="en-GB"/>
              </w:rPr>
              <w:t>,000</w:t>
            </w:r>
          </w:p>
        </w:tc>
        <w:tc>
          <w:tcPr>
            <w:tcW w:w="1414" w:type="dxa"/>
            <w:tcBorders>
              <w:top w:val="single" w:sz="4" w:space="0" w:color="auto"/>
              <w:left w:val="nil"/>
              <w:bottom w:val="single" w:sz="4" w:space="0" w:color="auto"/>
              <w:right w:val="single" w:sz="4" w:space="0" w:color="auto"/>
            </w:tcBorders>
            <w:shd w:val="clear" w:color="000000" w:fill="FFFFFF"/>
            <w:noWrap/>
            <w:vAlign w:val="center"/>
          </w:tcPr>
          <w:p w14:paraId="47618FBF" w14:textId="0E85AC2E"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£9,400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4D45ED1" w14:textId="0FD7CEE3"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2</w:t>
            </w:r>
            <w:r>
              <w:rPr>
                <w:rFonts w:eastAsia="Times New Roman" w:cs="Arial"/>
                <w:color w:val="000000"/>
                <w:sz w:val="18"/>
                <w:szCs w:val="18"/>
                <w:lang w:eastAsia="en-GB"/>
              </w:rPr>
              <w:t>0,000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624635E4" w14:textId="7993F977"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£100,00</w:t>
            </w:r>
          </w:p>
        </w:tc>
      </w:tr>
      <w:tr w:rsidR="00D27640" w:rsidRPr="00162F22" w14:paraId="7341CBDB" w14:textId="77777777" w:rsidTr="00C10DB0">
        <w:trPr>
          <w:trHeight w:val="283"/>
        </w:trPr>
        <w:tc>
          <w:tcPr>
            <w:tcW w:w="374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0529471" w14:textId="10EF6D55"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Surveys &amp; Coring for Capital Programme</w:t>
            </w:r>
          </w:p>
        </w:tc>
        <w:tc>
          <w:tcPr>
            <w:tcW w:w="1531" w:type="dxa"/>
            <w:tcBorders>
              <w:top w:val="nil"/>
              <w:left w:val="nil"/>
              <w:bottom w:val="single" w:sz="4" w:space="0" w:color="auto"/>
              <w:right w:val="single" w:sz="4" w:space="0" w:color="auto"/>
            </w:tcBorders>
            <w:shd w:val="clear" w:color="000000" w:fill="FFFFFF"/>
            <w:vAlign w:val="center"/>
            <w:hideMark/>
          </w:tcPr>
          <w:p w14:paraId="7B1568FF" w14:textId="1EB9A256"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10DB0">
              <w:rPr>
                <w:rFonts w:eastAsia="Times New Roman" w:cs="Arial"/>
                <w:color w:val="000000"/>
                <w:sz w:val="18"/>
                <w:szCs w:val="18"/>
                <w:lang w:eastAsia="en-GB"/>
              </w:rPr>
              <w:t>6</w:t>
            </w:r>
            <w:r w:rsidRPr="00162F22">
              <w:rPr>
                <w:rFonts w:eastAsia="Times New Roman" w:cs="Arial"/>
                <w:color w:val="000000"/>
                <w:sz w:val="18"/>
                <w:szCs w:val="18"/>
                <w:lang w:eastAsia="en-GB"/>
              </w:rPr>
              <w:t>00,000</w:t>
            </w:r>
          </w:p>
        </w:tc>
        <w:tc>
          <w:tcPr>
            <w:tcW w:w="1414" w:type="dxa"/>
            <w:tcBorders>
              <w:top w:val="nil"/>
              <w:left w:val="nil"/>
              <w:bottom w:val="single" w:sz="4" w:space="0" w:color="auto"/>
              <w:right w:val="single" w:sz="4" w:space="0" w:color="auto"/>
            </w:tcBorders>
            <w:shd w:val="clear" w:color="000000" w:fill="FFFFFF"/>
            <w:vAlign w:val="center"/>
          </w:tcPr>
          <w:p w14:paraId="7F69F672" w14:textId="704A78D1"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£75,000</w:t>
            </w:r>
          </w:p>
        </w:tc>
        <w:tc>
          <w:tcPr>
            <w:tcW w:w="1701" w:type="dxa"/>
            <w:tcBorders>
              <w:top w:val="nil"/>
              <w:left w:val="nil"/>
              <w:bottom w:val="single" w:sz="4" w:space="0" w:color="auto"/>
              <w:right w:val="single" w:sz="4" w:space="0" w:color="auto"/>
            </w:tcBorders>
            <w:shd w:val="clear" w:color="000000" w:fill="FFFFFF"/>
            <w:vAlign w:val="center"/>
            <w:hideMark/>
          </w:tcPr>
          <w:p w14:paraId="1F206CBA" w14:textId="29CC0AD2"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w:t>
            </w:r>
            <w:r w:rsidR="00C10DB0">
              <w:rPr>
                <w:rFonts w:eastAsia="Times New Roman" w:cs="Arial"/>
                <w:color w:val="000000"/>
                <w:sz w:val="18"/>
                <w:szCs w:val="18"/>
                <w:lang w:eastAsia="en-GB"/>
              </w:rPr>
              <w:t>15</w:t>
            </w:r>
            <w:r>
              <w:rPr>
                <w:rFonts w:eastAsia="Times New Roman" w:cs="Arial"/>
                <w:color w:val="000000"/>
                <w:sz w:val="18"/>
                <w:szCs w:val="18"/>
                <w:lang w:eastAsia="en-GB"/>
              </w:rPr>
              <w:t>0,000</w:t>
            </w:r>
          </w:p>
        </w:tc>
        <w:tc>
          <w:tcPr>
            <w:tcW w:w="1435" w:type="dxa"/>
            <w:tcBorders>
              <w:top w:val="nil"/>
              <w:left w:val="nil"/>
              <w:bottom w:val="single" w:sz="4" w:space="0" w:color="auto"/>
              <w:right w:val="single" w:sz="4" w:space="0" w:color="auto"/>
            </w:tcBorders>
            <w:shd w:val="clear" w:color="000000" w:fill="FFFFFF"/>
            <w:vAlign w:val="center"/>
          </w:tcPr>
          <w:p w14:paraId="39F7D20B" w14:textId="6C5F730C"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£750,000</w:t>
            </w:r>
          </w:p>
        </w:tc>
      </w:tr>
      <w:tr w:rsidR="00D27640" w:rsidRPr="00162F22" w14:paraId="473CB9AF" w14:textId="77777777" w:rsidTr="00C10DB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3E3684EC" w14:textId="1C28BCD6"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Future Design/Site Investigations</w:t>
            </w:r>
          </w:p>
        </w:tc>
        <w:tc>
          <w:tcPr>
            <w:tcW w:w="1531" w:type="dxa"/>
            <w:tcBorders>
              <w:top w:val="nil"/>
              <w:left w:val="nil"/>
              <w:bottom w:val="single" w:sz="4" w:space="0" w:color="auto"/>
              <w:right w:val="single" w:sz="4" w:space="0" w:color="auto"/>
            </w:tcBorders>
            <w:shd w:val="clear" w:color="000000" w:fill="FFFFFF"/>
            <w:vAlign w:val="center"/>
            <w:hideMark/>
          </w:tcPr>
          <w:p w14:paraId="4C962F05" w14:textId="2A156C3C"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£0</w:t>
            </w:r>
          </w:p>
        </w:tc>
        <w:tc>
          <w:tcPr>
            <w:tcW w:w="1414" w:type="dxa"/>
            <w:tcBorders>
              <w:top w:val="nil"/>
              <w:left w:val="nil"/>
              <w:bottom w:val="single" w:sz="4" w:space="0" w:color="auto"/>
              <w:right w:val="single" w:sz="4" w:space="0" w:color="auto"/>
            </w:tcBorders>
            <w:shd w:val="clear" w:color="000000" w:fill="FFFFFF"/>
            <w:vAlign w:val="center"/>
          </w:tcPr>
          <w:p w14:paraId="3896B220" w14:textId="4790DEFB"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083C5144" w14:textId="06F56212"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£2</w:t>
            </w:r>
            <w:r w:rsidR="00C10DB0">
              <w:rPr>
                <w:rFonts w:eastAsia="Times New Roman" w:cs="Arial"/>
                <w:color w:val="000000"/>
                <w:sz w:val="18"/>
                <w:szCs w:val="18"/>
                <w:lang w:eastAsia="en-GB"/>
              </w:rPr>
              <w:t>99,297</w:t>
            </w:r>
          </w:p>
        </w:tc>
        <w:tc>
          <w:tcPr>
            <w:tcW w:w="1435" w:type="dxa"/>
            <w:tcBorders>
              <w:top w:val="nil"/>
              <w:left w:val="nil"/>
              <w:bottom w:val="single" w:sz="4" w:space="0" w:color="auto"/>
              <w:right w:val="single" w:sz="4" w:space="0" w:color="auto"/>
            </w:tcBorders>
            <w:shd w:val="clear" w:color="000000" w:fill="FFFFFF"/>
            <w:vAlign w:val="center"/>
          </w:tcPr>
          <w:p w14:paraId="0D0656CD" w14:textId="6FE37C0F" w:rsidR="00D27640" w:rsidRPr="00C10DB0" w:rsidRDefault="00756A99" w:rsidP="00D27640">
            <w:pPr>
              <w:spacing w:after="0" w:line="240" w:lineRule="auto"/>
              <w:jc w:val="center"/>
              <w:rPr>
                <w:rFonts w:eastAsia="Times New Roman" w:cs="Arial"/>
                <w:b/>
                <w:bCs/>
                <w:sz w:val="18"/>
                <w:szCs w:val="18"/>
                <w:lang w:eastAsia="en-GB"/>
              </w:rPr>
            </w:pPr>
            <w:r>
              <w:rPr>
                <w:rFonts w:eastAsia="Times New Roman" w:cs="Arial"/>
                <w:b/>
                <w:bCs/>
                <w:sz w:val="18"/>
                <w:szCs w:val="18"/>
                <w:lang w:eastAsia="en-GB"/>
              </w:rPr>
              <w:t>£299,297</w:t>
            </w:r>
          </w:p>
        </w:tc>
      </w:tr>
      <w:tr w:rsidR="00D27640" w:rsidRPr="00162F22" w14:paraId="6B96294F" w14:textId="77777777" w:rsidTr="00C10DB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9A6D698" w14:textId="7A49C52F"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Planned Additional Maintenance</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60832ECD" w14:textId="1E97E89E"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£283,000</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23A76769" w14:textId="70B79140"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£115,600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836E110" w14:textId="3DB65377"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Pr="00D27640">
              <w:rPr>
                <w:rFonts w:eastAsia="Times New Roman" w:cs="Arial"/>
                <w:color w:val="000000"/>
                <w:sz w:val="18"/>
                <w:szCs w:val="18"/>
                <w:lang w:eastAsia="en-GB"/>
              </w:rPr>
              <w:t>4</w:t>
            </w:r>
            <w:r w:rsidR="00C10DB0">
              <w:rPr>
                <w:rFonts w:eastAsia="Times New Roman" w:cs="Arial"/>
                <w:color w:val="000000"/>
                <w:sz w:val="18"/>
                <w:szCs w:val="18"/>
                <w:lang w:eastAsia="en-GB"/>
              </w:rPr>
              <w:t>00,000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1C650C50" w14:textId="1390CC50" w:rsidR="00D27640" w:rsidRPr="00C10DB0" w:rsidRDefault="00756A99"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£683,000</w:t>
            </w:r>
          </w:p>
        </w:tc>
      </w:tr>
      <w:tr w:rsidR="00D27640" w:rsidRPr="00162F22" w14:paraId="430A9BF9" w14:textId="77777777" w:rsidTr="00C10DB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tcPr>
          <w:p w14:paraId="7ABBAA24" w14:textId="633A81D3"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Structures: Principal Bridge Inspections</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0C7B1D65" w14:textId="10349C19"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£300,000</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6A2357F9" w14:textId="40EABE44"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8F2D2B5" w14:textId="5491894D" w:rsidR="00D27640" w:rsidRPr="00162F22" w:rsidRDefault="00D27640"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Pr="00D27640">
              <w:rPr>
                <w:rFonts w:eastAsia="Times New Roman" w:cs="Arial"/>
                <w:color w:val="000000"/>
                <w:sz w:val="18"/>
                <w:szCs w:val="18"/>
                <w:lang w:eastAsia="en-GB"/>
              </w:rPr>
              <w:t>3</w:t>
            </w:r>
            <w:r w:rsidR="00C10DB0">
              <w:rPr>
                <w:rFonts w:eastAsia="Times New Roman" w:cs="Arial"/>
                <w:color w:val="000000"/>
                <w:sz w:val="18"/>
                <w:szCs w:val="18"/>
                <w:lang w:eastAsia="en-GB"/>
              </w:rPr>
              <w:t>00,000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468A4F22" w14:textId="29436F20" w:rsidR="00D27640" w:rsidRPr="00C10DB0" w:rsidRDefault="00756A99"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£600,000</w:t>
            </w:r>
          </w:p>
        </w:tc>
      </w:tr>
      <w:tr w:rsidR="00D27640" w:rsidRPr="00162F22" w14:paraId="1991A709" w14:textId="77777777" w:rsidTr="00C10DB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tcPr>
          <w:p w14:paraId="090E8A62" w14:textId="0775CE8E" w:rsidR="00D27640" w:rsidRPr="00162F22" w:rsidRDefault="00D2764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Structures: Risk Based Assessments</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0DDF8CCC" w14:textId="37DECEE7" w:rsidR="00D27640" w:rsidRPr="00162F22"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£215,000</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5429349E" w14:textId="08920A67" w:rsidR="00D27640" w:rsidRPr="00162F22" w:rsidRDefault="00D27640" w:rsidP="00D27640">
            <w:pPr>
              <w:spacing w:after="0" w:line="240" w:lineRule="auto"/>
              <w:jc w:val="center"/>
              <w:rPr>
                <w:rFonts w:eastAsia="Times New Roman" w:cs="Arial"/>
                <w:color w:val="000000"/>
                <w:sz w:val="18"/>
                <w:szCs w:val="18"/>
                <w:lang w:eastAsia="en-GB"/>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BD46851" w14:textId="2B70E742" w:rsidR="00D27640" w:rsidRPr="00162F22" w:rsidRDefault="00D27640" w:rsidP="00D27640">
            <w:pPr>
              <w:spacing w:after="0" w:line="240" w:lineRule="auto"/>
              <w:jc w:val="center"/>
              <w:rPr>
                <w:rFonts w:eastAsia="Times New Roman" w:cs="Arial"/>
                <w:color w:val="000000"/>
                <w:sz w:val="18"/>
                <w:szCs w:val="18"/>
                <w:lang w:eastAsia="en-GB"/>
              </w:rPr>
            </w:pPr>
            <w:r w:rsidRPr="00D27640">
              <w:rPr>
                <w:rFonts w:eastAsia="Times New Roman" w:cs="Arial"/>
                <w:color w:val="000000"/>
                <w:sz w:val="18"/>
                <w:szCs w:val="18"/>
                <w:lang w:eastAsia="en-GB"/>
              </w:rPr>
              <w:t>£</w:t>
            </w:r>
            <w:r w:rsidR="00C10DB0">
              <w:rPr>
                <w:rFonts w:eastAsia="Times New Roman" w:cs="Arial"/>
                <w:color w:val="000000"/>
                <w:sz w:val="18"/>
                <w:szCs w:val="18"/>
                <w:lang w:eastAsia="en-GB"/>
              </w:rPr>
              <w:t>100,00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2EB2B9E1" w14:textId="3651A8EF" w:rsidR="00D27640" w:rsidRPr="00C10DB0" w:rsidRDefault="00756A99"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£315,000</w:t>
            </w:r>
          </w:p>
        </w:tc>
      </w:tr>
      <w:tr w:rsidR="00D27640" w:rsidRPr="00162F22" w14:paraId="4E2BABAC"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auto"/>
            <w:vAlign w:val="center"/>
          </w:tcPr>
          <w:p w14:paraId="03C1C3E3" w14:textId="31B811B0" w:rsidR="00D2764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Street Lighting: Risk Based Assessments and Column Replacements</w:t>
            </w:r>
          </w:p>
        </w:tc>
        <w:tc>
          <w:tcPr>
            <w:tcW w:w="1531" w:type="dxa"/>
            <w:tcBorders>
              <w:top w:val="single" w:sz="4" w:space="0" w:color="auto"/>
              <w:left w:val="single" w:sz="6" w:space="0" w:color="auto"/>
              <w:bottom w:val="single" w:sz="4" w:space="0" w:color="auto"/>
              <w:right w:val="single" w:sz="4" w:space="0" w:color="auto"/>
            </w:tcBorders>
            <w:shd w:val="clear" w:color="auto" w:fill="auto"/>
            <w:vAlign w:val="center"/>
          </w:tcPr>
          <w:p w14:paraId="3B84971C" w14:textId="601248A0" w:rsidR="00D2764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£250,000</w:t>
            </w:r>
          </w:p>
        </w:tc>
        <w:tc>
          <w:tcPr>
            <w:tcW w:w="1414" w:type="dxa"/>
            <w:tcBorders>
              <w:top w:val="single" w:sz="4" w:space="0" w:color="auto"/>
              <w:left w:val="nil"/>
              <w:bottom w:val="single" w:sz="4" w:space="0" w:color="auto"/>
              <w:right w:val="single" w:sz="4" w:space="0" w:color="auto"/>
            </w:tcBorders>
            <w:shd w:val="clear" w:color="auto" w:fill="auto"/>
            <w:vAlign w:val="center"/>
          </w:tcPr>
          <w:p w14:paraId="68A5D720" w14:textId="65A5C0C5" w:rsidR="00D27640" w:rsidRPr="00D27640" w:rsidRDefault="00D27640" w:rsidP="00D27640">
            <w:pPr>
              <w:spacing w:after="0" w:line="240" w:lineRule="auto"/>
              <w:jc w:val="center"/>
              <w:rPr>
                <w:rFonts w:eastAsia="Times New Roman" w:cs="Arial"/>
                <w:color w:val="000000"/>
                <w:sz w:val="18"/>
                <w:szCs w:val="18"/>
                <w:lang w:eastAsia="en-GB"/>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D3ACB2E" w14:textId="362F7B84" w:rsidR="00D27640" w:rsidRPr="00D27640" w:rsidRDefault="00D27640" w:rsidP="00D27640">
            <w:pPr>
              <w:spacing w:after="0" w:line="240" w:lineRule="auto"/>
              <w:jc w:val="center"/>
              <w:rPr>
                <w:rFonts w:eastAsia="Times New Roman" w:cs="Arial"/>
                <w:color w:val="000000"/>
                <w:sz w:val="18"/>
                <w:szCs w:val="18"/>
                <w:lang w:eastAsia="en-GB"/>
              </w:rPr>
            </w:pPr>
            <w:r w:rsidRPr="00D27640">
              <w:rPr>
                <w:rFonts w:eastAsia="Times New Roman" w:cs="Arial"/>
                <w:color w:val="000000"/>
                <w:sz w:val="18"/>
                <w:szCs w:val="18"/>
                <w:lang w:eastAsia="en-GB"/>
              </w:rPr>
              <w:t>£2</w:t>
            </w:r>
            <w:r w:rsidR="00C10DB0">
              <w:rPr>
                <w:rFonts w:eastAsia="Times New Roman" w:cs="Arial"/>
                <w:color w:val="000000"/>
                <w:sz w:val="18"/>
                <w:szCs w:val="18"/>
                <w:lang w:eastAsia="en-GB"/>
              </w:rPr>
              <w:t>50,000</w:t>
            </w:r>
          </w:p>
        </w:tc>
        <w:tc>
          <w:tcPr>
            <w:tcW w:w="1435" w:type="dxa"/>
            <w:tcBorders>
              <w:top w:val="single" w:sz="4" w:space="0" w:color="auto"/>
              <w:left w:val="nil"/>
              <w:bottom w:val="single" w:sz="4" w:space="0" w:color="auto"/>
              <w:right w:val="single" w:sz="4" w:space="0" w:color="auto"/>
            </w:tcBorders>
            <w:shd w:val="clear" w:color="auto" w:fill="auto"/>
            <w:vAlign w:val="center"/>
          </w:tcPr>
          <w:p w14:paraId="13917469" w14:textId="56474778" w:rsidR="00D27640" w:rsidRPr="00C10DB0" w:rsidRDefault="00756A99"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£500,000</w:t>
            </w:r>
          </w:p>
        </w:tc>
      </w:tr>
      <w:tr w:rsidR="00D27640" w:rsidRPr="00162F22" w14:paraId="773E34D5"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auto"/>
            <w:vAlign w:val="center"/>
          </w:tcPr>
          <w:p w14:paraId="7C65C2EB" w14:textId="67B5934C" w:rsidR="00D2764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Vehicle Restraint Barriers: Risk Based Assessments</w:t>
            </w:r>
          </w:p>
        </w:tc>
        <w:tc>
          <w:tcPr>
            <w:tcW w:w="1531" w:type="dxa"/>
            <w:tcBorders>
              <w:top w:val="single" w:sz="4" w:space="0" w:color="auto"/>
              <w:left w:val="single" w:sz="6" w:space="0" w:color="auto"/>
              <w:bottom w:val="single" w:sz="4" w:space="0" w:color="auto"/>
              <w:right w:val="single" w:sz="4" w:space="0" w:color="auto"/>
            </w:tcBorders>
            <w:shd w:val="clear" w:color="auto" w:fill="auto"/>
            <w:vAlign w:val="center"/>
          </w:tcPr>
          <w:p w14:paraId="66F39E9D" w14:textId="3F77B7D5" w:rsidR="00D2764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£175,000</w:t>
            </w:r>
          </w:p>
        </w:tc>
        <w:tc>
          <w:tcPr>
            <w:tcW w:w="1414" w:type="dxa"/>
            <w:tcBorders>
              <w:top w:val="single" w:sz="4" w:space="0" w:color="auto"/>
              <w:left w:val="nil"/>
              <w:bottom w:val="single" w:sz="4" w:space="0" w:color="auto"/>
              <w:right w:val="single" w:sz="4" w:space="0" w:color="auto"/>
            </w:tcBorders>
            <w:shd w:val="clear" w:color="auto" w:fill="auto"/>
            <w:vAlign w:val="center"/>
          </w:tcPr>
          <w:p w14:paraId="2B18E6F2" w14:textId="22E13DFA" w:rsidR="00D27640" w:rsidRPr="00C10DB0" w:rsidRDefault="00D27640" w:rsidP="00D27640">
            <w:pPr>
              <w:spacing w:after="0" w:line="240" w:lineRule="auto"/>
              <w:jc w:val="center"/>
              <w:rPr>
                <w:rFonts w:eastAsia="Times New Roman" w:cs="Arial"/>
                <w:color w:val="000000" w:themeColor="text1"/>
                <w:sz w:val="18"/>
                <w:szCs w:val="18"/>
                <w:lang w:eastAsia="en-GB"/>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56099B1" w14:textId="57491348" w:rsidR="00D27640" w:rsidRPr="00C10DB0" w:rsidRDefault="00D27640" w:rsidP="00D27640">
            <w:pPr>
              <w:spacing w:after="0" w:line="240" w:lineRule="auto"/>
              <w:jc w:val="center"/>
              <w:rPr>
                <w:rFonts w:eastAsia="Times New Roman" w:cs="Arial"/>
                <w:color w:val="000000" w:themeColor="text1"/>
                <w:sz w:val="18"/>
                <w:szCs w:val="18"/>
                <w:lang w:eastAsia="en-GB"/>
              </w:rPr>
            </w:pPr>
            <w:r w:rsidRPr="00C10DB0">
              <w:rPr>
                <w:rFonts w:eastAsia="Times New Roman" w:cs="Arial"/>
                <w:color w:val="000000" w:themeColor="text1"/>
                <w:sz w:val="18"/>
                <w:szCs w:val="18"/>
                <w:lang w:eastAsia="en-GB"/>
              </w:rPr>
              <w:t>£</w:t>
            </w:r>
            <w:r w:rsidR="00C10DB0">
              <w:rPr>
                <w:rFonts w:eastAsia="Times New Roman" w:cs="Arial"/>
                <w:color w:val="000000" w:themeColor="text1"/>
                <w:sz w:val="18"/>
                <w:szCs w:val="18"/>
                <w:lang w:eastAsia="en-GB"/>
              </w:rPr>
              <w:t>144,000</w:t>
            </w:r>
          </w:p>
        </w:tc>
        <w:tc>
          <w:tcPr>
            <w:tcW w:w="1435" w:type="dxa"/>
            <w:tcBorders>
              <w:top w:val="single" w:sz="4" w:space="0" w:color="auto"/>
              <w:left w:val="nil"/>
              <w:bottom w:val="single" w:sz="4" w:space="0" w:color="auto"/>
              <w:right w:val="single" w:sz="4" w:space="0" w:color="auto"/>
            </w:tcBorders>
            <w:shd w:val="clear" w:color="auto" w:fill="auto"/>
            <w:vAlign w:val="center"/>
          </w:tcPr>
          <w:p w14:paraId="15F51BF5" w14:textId="22E7C856" w:rsidR="00D27640" w:rsidRPr="00C10DB0" w:rsidRDefault="00756A99" w:rsidP="00D27640">
            <w:pPr>
              <w:spacing w:after="0" w:line="240" w:lineRule="auto"/>
              <w:jc w:val="center"/>
              <w:rPr>
                <w:rFonts w:eastAsia="Times New Roman" w:cs="Arial"/>
                <w:b/>
                <w:bCs/>
                <w:color w:val="000000" w:themeColor="text1"/>
                <w:sz w:val="18"/>
                <w:szCs w:val="18"/>
                <w:lang w:eastAsia="en-GB"/>
              </w:rPr>
            </w:pPr>
            <w:r>
              <w:rPr>
                <w:rFonts w:eastAsia="Times New Roman" w:cs="Arial"/>
                <w:b/>
                <w:bCs/>
                <w:color w:val="000000" w:themeColor="text1"/>
                <w:sz w:val="18"/>
                <w:szCs w:val="18"/>
                <w:lang w:eastAsia="en-GB"/>
              </w:rPr>
              <w:t>£319,000</w:t>
            </w:r>
          </w:p>
        </w:tc>
      </w:tr>
      <w:tr w:rsidR="00C10DB0" w:rsidRPr="00162F22" w14:paraId="495F11E9"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auto"/>
            <w:vAlign w:val="center"/>
          </w:tcPr>
          <w:p w14:paraId="46B59650" w14:textId="73860FBC" w:rsidR="00C10DB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Derby Street Bridge</w:t>
            </w:r>
          </w:p>
        </w:tc>
        <w:tc>
          <w:tcPr>
            <w:tcW w:w="1531" w:type="dxa"/>
            <w:tcBorders>
              <w:top w:val="single" w:sz="4" w:space="0" w:color="auto"/>
              <w:left w:val="single" w:sz="6" w:space="0" w:color="auto"/>
              <w:bottom w:val="single" w:sz="4" w:space="0" w:color="auto"/>
              <w:right w:val="single" w:sz="4" w:space="0" w:color="auto"/>
            </w:tcBorders>
            <w:shd w:val="clear" w:color="auto" w:fill="auto"/>
            <w:vAlign w:val="center"/>
          </w:tcPr>
          <w:p w14:paraId="3F544D1C" w14:textId="601DB119" w:rsidR="00C10DB0" w:rsidRPr="00D27640" w:rsidRDefault="00C10DB0"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£0</w:t>
            </w:r>
          </w:p>
        </w:tc>
        <w:tc>
          <w:tcPr>
            <w:tcW w:w="1414" w:type="dxa"/>
            <w:tcBorders>
              <w:top w:val="single" w:sz="4" w:space="0" w:color="auto"/>
              <w:left w:val="nil"/>
              <w:bottom w:val="single" w:sz="4" w:space="0" w:color="auto"/>
              <w:right w:val="single" w:sz="4" w:space="0" w:color="auto"/>
            </w:tcBorders>
            <w:shd w:val="clear" w:color="auto" w:fill="auto"/>
            <w:vAlign w:val="center"/>
          </w:tcPr>
          <w:p w14:paraId="201F010B" w14:textId="27AA3265" w:rsidR="00C10DB0" w:rsidRPr="00C10DB0" w:rsidRDefault="00C10DB0" w:rsidP="00D27640">
            <w:pPr>
              <w:spacing w:after="0" w:line="240" w:lineRule="auto"/>
              <w:jc w:val="center"/>
              <w:rPr>
                <w:rFonts w:eastAsia="Times New Roman" w:cs="Arial"/>
                <w:color w:val="000000" w:themeColor="text1"/>
                <w:sz w:val="18"/>
                <w:szCs w:val="18"/>
                <w:lang w:eastAsia="en-GB"/>
              </w:rPr>
            </w:pPr>
            <w:r>
              <w:rPr>
                <w:rFonts w:eastAsia="Times New Roman" w:cs="Arial"/>
                <w:color w:val="000000" w:themeColor="text1"/>
                <w:sz w:val="18"/>
                <w:szCs w:val="18"/>
                <w:lang w:eastAsia="en-GB"/>
              </w:rPr>
              <w:t>£300,000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7BC9D" w14:textId="6E75159E" w:rsidR="00C10DB0" w:rsidRPr="00C10DB0" w:rsidRDefault="00C10DB0" w:rsidP="00D27640">
            <w:pPr>
              <w:spacing w:after="0" w:line="240" w:lineRule="auto"/>
              <w:jc w:val="center"/>
              <w:rPr>
                <w:rFonts w:eastAsia="Times New Roman" w:cs="Arial"/>
                <w:color w:val="000000" w:themeColor="text1"/>
                <w:sz w:val="18"/>
                <w:szCs w:val="18"/>
                <w:lang w:eastAsia="en-GB"/>
              </w:rPr>
            </w:pPr>
            <w:r>
              <w:rPr>
                <w:rFonts w:eastAsia="Times New Roman" w:cs="Arial"/>
                <w:color w:val="000000" w:themeColor="text1"/>
                <w:sz w:val="18"/>
                <w:szCs w:val="18"/>
                <w:lang w:eastAsia="en-GB"/>
              </w:rPr>
              <w:t>£553,000</w:t>
            </w:r>
          </w:p>
        </w:tc>
        <w:tc>
          <w:tcPr>
            <w:tcW w:w="1435" w:type="dxa"/>
            <w:tcBorders>
              <w:top w:val="single" w:sz="4" w:space="0" w:color="auto"/>
              <w:left w:val="nil"/>
              <w:bottom w:val="single" w:sz="4" w:space="0" w:color="auto"/>
              <w:right w:val="single" w:sz="4" w:space="0" w:color="auto"/>
            </w:tcBorders>
            <w:shd w:val="clear" w:color="auto" w:fill="auto"/>
            <w:vAlign w:val="center"/>
          </w:tcPr>
          <w:p w14:paraId="6C8BC706" w14:textId="3D455603" w:rsidR="00C10DB0" w:rsidRPr="00C10DB0" w:rsidRDefault="00756A99" w:rsidP="00D27640">
            <w:pPr>
              <w:spacing w:after="0" w:line="240" w:lineRule="auto"/>
              <w:jc w:val="center"/>
              <w:rPr>
                <w:rFonts w:eastAsia="Times New Roman" w:cs="Arial"/>
                <w:b/>
                <w:bCs/>
                <w:color w:val="000000" w:themeColor="text1"/>
                <w:sz w:val="18"/>
                <w:szCs w:val="18"/>
                <w:lang w:eastAsia="en-GB"/>
              </w:rPr>
            </w:pPr>
            <w:r>
              <w:rPr>
                <w:rFonts w:eastAsia="Times New Roman" w:cs="Arial"/>
                <w:b/>
                <w:bCs/>
                <w:color w:val="000000" w:themeColor="text1"/>
                <w:sz w:val="18"/>
                <w:szCs w:val="18"/>
                <w:lang w:eastAsia="en-GB"/>
              </w:rPr>
              <w:t>£553,000</w:t>
            </w:r>
          </w:p>
        </w:tc>
      </w:tr>
      <w:tr w:rsidR="00C10DB0" w:rsidRPr="00162F22" w14:paraId="644C5E72"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auto"/>
            <w:vAlign w:val="center"/>
          </w:tcPr>
          <w:p w14:paraId="00F3C7CE" w14:textId="18834779" w:rsidR="00C10DB0" w:rsidRPr="00C10DB0" w:rsidRDefault="00C10DB0" w:rsidP="00D27640">
            <w:pPr>
              <w:spacing w:after="0" w:line="240" w:lineRule="auto"/>
              <w:jc w:val="center"/>
              <w:rPr>
                <w:rFonts w:eastAsia="Times New Roman" w:cs="Arial"/>
                <w:b/>
                <w:bCs/>
                <w:color w:val="000000"/>
                <w:sz w:val="18"/>
                <w:szCs w:val="18"/>
                <w:lang w:eastAsia="en-GB"/>
              </w:rPr>
            </w:pPr>
            <w:r w:rsidRPr="00C10DB0">
              <w:rPr>
                <w:rFonts w:eastAsia="Times New Roman" w:cs="Arial"/>
                <w:b/>
                <w:bCs/>
                <w:color w:val="000000"/>
                <w:sz w:val="18"/>
                <w:szCs w:val="18"/>
                <w:lang w:eastAsia="en-GB"/>
              </w:rPr>
              <w:t>Total</w:t>
            </w:r>
          </w:p>
        </w:tc>
        <w:tc>
          <w:tcPr>
            <w:tcW w:w="1531" w:type="dxa"/>
            <w:tcBorders>
              <w:top w:val="single" w:sz="4" w:space="0" w:color="auto"/>
              <w:left w:val="single" w:sz="6" w:space="0" w:color="auto"/>
              <w:bottom w:val="single" w:sz="4" w:space="0" w:color="auto"/>
              <w:right w:val="single" w:sz="4" w:space="0" w:color="auto"/>
            </w:tcBorders>
            <w:shd w:val="clear" w:color="auto" w:fill="auto"/>
            <w:vAlign w:val="center"/>
          </w:tcPr>
          <w:p w14:paraId="2344E57B" w14:textId="74D22ED3" w:rsidR="00C10DB0" w:rsidRPr="00C10DB0" w:rsidRDefault="00C10DB0"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£18,567,000</w:t>
            </w:r>
          </w:p>
        </w:tc>
        <w:tc>
          <w:tcPr>
            <w:tcW w:w="1414" w:type="dxa"/>
            <w:tcBorders>
              <w:top w:val="single" w:sz="4" w:space="0" w:color="auto"/>
              <w:left w:val="nil"/>
              <w:bottom w:val="single" w:sz="4" w:space="0" w:color="auto"/>
              <w:right w:val="single" w:sz="4" w:space="0" w:color="auto"/>
            </w:tcBorders>
            <w:shd w:val="clear" w:color="auto" w:fill="auto"/>
            <w:vAlign w:val="center"/>
          </w:tcPr>
          <w:p w14:paraId="252469A4" w14:textId="29EFF0C6" w:rsidR="00C10DB0" w:rsidRPr="00C10DB0" w:rsidRDefault="00C10DB0" w:rsidP="00D27640">
            <w:pPr>
              <w:spacing w:after="0" w:line="240" w:lineRule="auto"/>
              <w:jc w:val="center"/>
              <w:rPr>
                <w:rFonts w:eastAsia="Times New Roman" w:cs="Arial"/>
                <w:b/>
                <w:bCs/>
                <w:color w:val="000000" w:themeColor="text1"/>
                <w:sz w:val="18"/>
                <w:szCs w:val="18"/>
                <w:lang w:eastAsia="en-GB"/>
              </w:rPr>
            </w:pPr>
            <w:r>
              <w:rPr>
                <w:rFonts w:eastAsia="Times New Roman" w:cs="Arial"/>
                <w:b/>
                <w:bCs/>
                <w:color w:val="000000" w:themeColor="text1"/>
                <w:sz w:val="18"/>
                <w:szCs w:val="18"/>
                <w:lang w:eastAsia="en-GB"/>
              </w:rPr>
              <w:t>£1,160,000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F58246" w14:textId="334E95F6" w:rsidR="00C10DB0" w:rsidRPr="00C10DB0" w:rsidRDefault="00C10DB0" w:rsidP="00D27640">
            <w:pPr>
              <w:spacing w:after="0" w:line="240" w:lineRule="auto"/>
              <w:jc w:val="center"/>
              <w:rPr>
                <w:rFonts w:eastAsia="Times New Roman" w:cs="Arial"/>
                <w:b/>
                <w:bCs/>
                <w:color w:val="000000" w:themeColor="text1"/>
                <w:sz w:val="18"/>
                <w:szCs w:val="18"/>
                <w:lang w:eastAsia="en-GB"/>
              </w:rPr>
            </w:pPr>
            <w:r>
              <w:rPr>
                <w:rFonts w:eastAsia="Times New Roman" w:cs="Arial"/>
                <w:b/>
                <w:bCs/>
                <w:color w:val="000000" w:themeColor="text1"/>
                <w:sz w:val="18"/>
                <w:szCs w:val="18"/>
                <w:lang w:eastAsia="en-GB"/>
              </w:rPr>
              <w:t>£3</w:t>
            </w:r>
            <w:r w:rsidR="00756A99">
              <w:rPr>
                <w:rFonts w:eastAsia="Times New Roman" w:cs="Arial"/>
                <w:b/>
                <w:bCs/>
                <w:color w:val="000000" w:themeColor="text1"/>
                <w:sz w:val="18"/>
                <w:szCs w:val="18"/>
                <w:lang w:eastAsia="en-GB"/>
              </w:rPr>
              <w:t>,</w:t>
            </w:r>
            <w:r>
              <w:rPr>
                <w:rFonts w:eastAsia="Times New Roman" w:cs="Arial"/>
                <w:b/>
                <w:bCs/>
                <w:color w:val="000000" w:themeColor="text1"/>
                <w:sz w:val="18"/>
                <w:szCs w:val="18"/>
                <w:lang w:eastAsia="en-GB"/>
              </w:rPr>
              <w:t>867,000</w:t>
            </w:r>
          </w:p>
        </w:tc>
        <w:tc>
          <w:tcPr>
            <w:tcW w:w="1435" w:type="dxa"/>
            <w:tcBorders>
              <w:top w:val="single" w:sz="4" w:space="0" w:color="auto"/>
              <w:left w:val="nil"/>
              <w:bottom w:val="single" w:sz="4" w:space="0" w:color="auto"/>
              <w:right w:val="single" w:sz="4" w:space="0" w:color="auto"/>
            </w:tcBorders>
            <w:shd w:val="clear" w:color="auto" w:fill="auto"/>
            <w:vAlign w:val="center"/>
          </w:tcPr>
          <w:p w14:paraId="65937069" w14:textId="3057FC81" w:rsidR="00C10DB0" w:rsidRPr="00C10DB0" w:rsidRDefault="00756A99" w:rsidP="00D27640">
            <w:pPr>
              <w:spacing w:after="0" w:line="240" w:lineRule="auto"/>
              <w:jc w:val="center"/>
              <w:rPr>
                <w:rFonts w:eastAsia="Times New Roman" w:cs="Arial"/>
                <w:b/>
                <w:bCs/>
                <w:color w:val="000000" w:themeColor="text1"/>
                <w:sz w:val="18"/>
                <w:szCs w:val="18"/>
                <w:lang w:eastAsia="en-GB"/>
              </w:rPr>
            </w:pPr>
            <w:r>
              <w:rPr>
                <w:rFonts w:eastAsia="Times New Roman" w:cs="Arial"/>
                <w:b/>
                <w:bCs/>
                <w:color w:val="000000" w:themeColor="text1"/>
                <w:sz w:val="18"/>
                <w:szCs w:val="18"/>
                <w:lang w:eastAsia="en-GB"/>
              </w:rPr>
              <w:t>£22,434,000</w:t>
            </w:r>
          </w:p>
        </w:tc>
      </w:tr>
    </w:tbl>
    <w:p w14:paraId="2F8F01DD" w14:textId="52B1E420" w:rsidR="00D27640" w:rsidRPr="00756A99" w:rsidRDefault="00D27640">
      <w:pPr>
        <w:rPr>
          <w:rFonts w:cs="Arial"/>
          <w:bCs/>
          <w:color w:val="000000" w:themeColor="text1"/>
        </w:rPr>
      </w:pPr>
    </w:p>
    <w:p w14:paraId="0D8974F9" w14:textId="6451DB15" w:rsidR="00756A99" w:rsidRPr="00756A99" w:rsidRDefault="00756A99" w:rsidP="00756A99">
      <w:pPr>
        <w:rPr>
          <w:rFonts w:cs="Arial"/>
          <w:bCs/>
          <w:color w:val="000000" w:themeColor="text1"/>
        </w:rPr>
      </w:pPr>
      <w:r>
        <w:rPr>
          <w:rFonts w:cs="Arial"/>
          <w:bCs/>
          <w:color w:val="000000" w:themeColor="text1"/>
        </w:rPr>
        <w:t xml:space="preserve">*we will receive the Maintenance Needs Grant plus EITHER Band 2 OR Band 3 Funding –not the Maintenance Needs Grant </w:t>
      </w:r>
      <w:r w:rsidRPr="00756A99">
        <w:rPr>
          <w:rFonts w:cs="Arial"/>
          <w:bCs/>
          <w:color w:val="000000" w:themeColor="text1"/>
          <w:u w:val="single"/>
        </w:rPr>
        <w:t>and</w:t>
      </w:r>
      <w:r>
        <w:rPr>
          <w:rFonts w:cs="Arial"/>
          <w:bCs/>
          <w:color w:val="000000" w:themeColor="text1"/>
        </w:rPr>
        <w:t xml:space="preserve"> Band 2 </w:t>
      </w:r>
      <w:r w:rsidRPr="00756A99">
        <w:rPr>
          <w:rFonts w:cs="Arial"/>
          <w:bCs/>
          <w:color w:val="000000" w:themeColor="text1"/>
          <w:u w:val="single"/>
        </w:rPr>
        <w:t>and</w:t>
      </w:r>
      <w:r>
        <w:rPr>
          <w:rFonts w:cs="Arial"/>
          <w:bCs/>
          <w:color w:val="000000" w:themeColor="text1"/>
        </w:rPr>
        <w:t xml:space="preserve"> Band 3.</w:t>
      </w:r>
    </w:p>
    <w:p w14:paraId="0FB9F4DF" w14:textId="77777777" w:rsidR="00756A99" w:rsidRPr="00756A99" w:rsidRDefault="00756A99">
      <w:pPr>
        <w:rPr>
          <w:rFonts w:cs="Arial"/>
          <w:bCs/>
          <w:color w:val="000000" w:themeColor="text1"/>
        </w:rPr>
      </w:pPr>
    </w:p>
    <w:p w14:paraId="29CCB533" w14:textId="77777777" w:rsidR="00D27640" w:rsidRDefault="00D27640">
      <w:pPr>
        <w:rPr>
          <w:rFonts w:cs="Arial"/>
          <w:b/>
          <w:color w:val="000000" w:themeColor="text1"/>
        </w:rPr>
      </w:pPr>
      <w:r>
        <w:rPr>
          <w:rFonts w:cs="Arial"/>
          <w:b/>
          <w:color w:val="000000" w:themeColor="text1"/>
        </w:rPr>
        <w:br w:type="page"/>
      </w:r>
    </w:p>
    <w:p w14:paraId="7B365C5B" w14:textId="77777777" w:rsidR="00C10DB0" w:rsidRDefault="00C10DB0" w:rsidP="00C10DB0">
      <w:pPr>
        <w:spacing w:after="0"/>
        <w:jc w:val="center"/>
        <w:rPr>
          <w:rFonts w:cs="Arial"/>
          <w:b/>
          <w:bCs/>
          <w:color w:val="000000" w:themeColor="text1"/>
        </w:rPr>
      </w:pPr>
      <w:r>
        <w:rPr>
          <w:rFonts w:cs="Arial"/>
          <w:b/>
          <w:bCs/>
          <w:color w:val="000000" w:themeColor="text1"/>
        </w:rPr>
        <w:lastRenderedPageBreak/>
        <w:t xml:space="preserve">Proposed </w:t>
      </w:r>
      <w:r w:rsidRPr="00FE60A3">
        <w:rPr>
          <w:rFonts w:cs="Arial"/>
          <w:b/>
          <w:bCs/>
          <w:color w:val="000000" w:themeColor="text1"/>
        </w:rPr>
        <w:t>Apportionment</w:t>
      </w:r>
      <w:r>
        <w:rPr>
          <w:rFonts w:cs="Arial"/>
          <w:b/>
          <w:bCs/>
          <w:color w:val="000000" w:themeColor="text1"/>
        </w:rPr>
        <w:t xml:space="preserve"> of Indicative Department for Transport (</w:t>
      </w:r>
      <w:proofErr w:type="spellStart"/>
      <w:r>
        <w:rPr>
          <w:rFonts w:cs="Arial"/>
          <w:b/>
          <w:bCs/>
          <w:color w:val="000000" w:themeColor="text1"/>
        </w:rPr>
        <w:t>DfT</w:t>
      </w:r>
      <w:proofErr w:type="spellEnd"/>
      <w:r>
        <w:rPr>
          <w:rFonts w:cs="Arial"/>
          <w:b/>
          <w:bCs/>
          <w:color w:val="000000" w:themeColor="text1"/>
        </w:rPr>
        <w:t>)</w:t>
      </w:r>
    </w:p>
    <w:p w14:paraId="31860B16" w14:textId="1C41AB63" w:rsidR="00906E5D" w:rsidRPr="00FE60A3" w:rsidRDefault="00C10DB0" w:rsidP="00C10DB0">
      <w:pPr>
        <w:spacing w:after="0"/>
        <w:jc w:val="center"/>
        <w:rPr>
          <w:rFonts w:cs="Arial"/>
          <w:b/>
          <w:bCs/>
          <w:color w:val="000000" w:themeColor="text1"/>
        </w:rPr>
      </w:pPr>
      <w:r>
        <w:rPr>
          <w:rFonts w:cs="Arial"/>
          <w:b/>
          <w:bCs/>
          <w:color w:val="000000" w:themeColor="text1"/>
        </w:rPr>
        <w:t xml:space="preserve">Highway Maintenance Funding </w:t>
      </w:r>
      <w:r w:rsidR="00FE60A3" w:rsidRPr="00FE60A3">
        <w:rPr>
          <w:rFonts w:cs="Arial"/>
          <w:b/>
          <w:bCs/>
          <w:color w:val="000000" w:themeColor="text1"/>
        </w:rPr>
        <w:t xml:space="preserve">for </w:t>
      </w:r>
      <w:r>
        <w:rPr>
          <w:rFonts w:cs="Arial"/>
          <w:b/>
          <w:bCs/>
          <w:color w:val="000000" w:themeColor="text1"/>
        </w:rPr>
        <w:t>Year 2 (</w:t>
      </w:r>
      <w:r w:rsidR="00FE60A3" w:rsidRPr="00FE60A3">
        <w:rPr>
          <w:rFonts w:cs="Arial"/>
          <w:b/>
          <w:bCs/>
          <w:color w:val="000000" w:themeColor="text1"/>
        </w:rPr>
        <w:t>2021/22</w:t>
      </w:r>
      <w:r>
        <w:rPr>
          <w:rFonts w:cs="Arial"/>
          <w:b/>
          <w:bCs/>
          <w:color w:val="000000" w:themeColor="text1"/>
        </w:rPr>
        <w:t>)</w:t>
      </w:r>
      <w:r w:rsidR="00A7577D">
        <w:rPr>
          <w:rFonts w:cs="Arial"/>
          <w:b/>
          <w:bCs/>
          <w:color w:val="000000" w:themeColor="text1"/>
        </w:rPr>
        <w:t xml:space="preserve"> – Year 5 (2024/25)</w:t>
      </w:r>
    </w:p>
    <w:p w14:paraId="7E641851" w14:textId="22ED1267" w:rsidR="00906E5D" w:rsidRDefault="00906E5D" w:rsidP="001528C9">
      <w:pPr>
        <w:spacing w:after="0"/>
        <w:rPr>
          <w:szCs w:val="24"/>
        </w:rPr>
      </w:pPr>
    </w:p>
    <w:tbl>
      <w:tblPr>
        <w:tblW w:w="9823" w:type="dxa"/>
        <w:tblLook w:val="04A0" w:firstRow="1" w:lastRow="0" w:firstColumn="1" w:lastColumn="0" w:noHBand="0" w:noVBand="1"/>
      </w:tblPr>
      <w:tblGrid>
        <w:gridCol w:w="3742"/>
        <w:gridCol w:w="1531"/>
        <w:gridCol w:w="1414"/>
        <w:gridCol w:w="1701"/>
        <w:gridCol w:w="1435"/>
      </w:tblGrid>
      <w:tr w:rsidR="00925D39" w:rsidRPr="00162F22" w14:paraId="3085425A" w14:textId="77777777" w:rsidTr="00925D39">
        <w:trPr>
          <w:trHeight w:val="630"/>
        </w:trPr>
        <w:tc>
          <w:tcPr>
            <w:tcW w:w="3742" w:type="dxa"/>
            <w:tcBorders>
              <w:top w:val="single" w:sz="8" w:space="0" w:color="auto"/>
              <w:left w:val="single" w:sz="8" w:space="0" w:color="auto"/>
              <w:bottom w:val="nil"/>
              <w:right w:val="nil"/>
            </w:tcBorders>
            <w:shd w:val="clear" w:color="auto" w:fill="auto"/>
            <w:vAlign w:val="center"/>
            <w:hideMark/>
          </w:tcPr>
          <w:p w14:paraId="4A250CE9" w14:textId="77777777" w:rsidR="00162F22" w:rsidRPr="00162F22" w:rsidRDefault="00162F22" w:rsidP="00066C08">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Programme</w:t>
            </w:r>
          </w:p>
        </w:tc>
        <w:tc>
          <w:tcPr>
            <w:tcW w:w="1531" w:type="dxa"/>
            <w:tcBorders>
              <w:top w:val="single" w:sz="8" w:space="0" w:color="auto"/>
              <w:left w:val="single" w:sz="4" w:space="0" w:color="auto"/>
              <w:bottom w:val="nil"/>
              <w:right w:val="single" w:sz="4" w:space="0" w:color="auto"/>
            </w:tcBorders>
            <w:shd w:val="clear" w:color="000000" w:fill="FFFFFF"/>
            <w:vAlign w:val="center"/>
            <w:hideMark/>
          </w:tcPr>
          <w:p w14:paraId="0A6D2402" w14:textId="6C947674" w:rsidR="00162F22" w:rsidRPr="00162F22" w:rsidRDefault="004C12FD" w:rsidP="00066C08">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2014 Outline Capital Allocations- TAMP Phase 1</w:t>
            </w:r>
          </w:p>
        </w:tc>
        <w:tc>
          <w:tcPr>
            <w:tcW w:w="1414" w:type="dxa"/>
            <w:tcBorders>
              <w:top w:val="single" w:sz="8" w:space="0" w:color="auto"/>
              <w:left w:val="nil"/>
              <w:bottom w:val="nil"/>
              <w:right w:val="single" w:sz="4" w:space="0" w:color="auto"/>
            </w:tcBorders>
            <w:shd w:val="clear" w:color="000000" w:fill="FFFFFF"/>
            <w:vAlign w:val="center"/>
            <w:hideMark/>
          </w:tcPr>
          <w:p w14:paraId="180B20A5" w14:textId="74892F53" w:rsidR="00162F22" w:rsidRPr="00162F22" w:rsidRDefault="004C12FD" w:rsidP="00066C08">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 xml:space="preserve">2021/22 </w:t>
            </w:r>
            <w:r w:rsidR="00A7577D">
              <w:rPr>
                <w:rFonts w:eastAsia="Times New Roman" w:cs="Arial"/>
                <w:b/>
                <w:bCs/>
                <w:color w:val="000000"/>
                <w:sz w:val="18"/>
                <w:szCs w:val="18"/>
                <w:lang w:eastAsia="en-GB"/>
              </w:rPr>
              <w:t xml:space="preserve">– 2024/25 </w:t>
            </w:r>
            <w:r w:rsidRPr="00CF063B">
              <w:rPr>
                <w:rFonts w:eastAsia="Times New Roman" w:cs="Arial"/>
                <w:b/>
                <w:bCs/>
                <w:color w:val="000000"/>
                <w:sz w:val="18"/>
                <w:szCs w:val="18"/>
                <w:lang w:eastAsia="en-GB"/>
              </w:rPr>
              <w:t>Basic TAMP Requirement</w:t>
            </w:r>
          </w:p>
        </w:tc>
        <w:tc>
          <w:tcPr>
            <w:tcW w:w="1701" w:type="dxa"/>
            <w:tcBorders>
              <w:top w:val="single" w:sz="8" w:space="0" w:color="auto"/>
              <w:left w:val="nil"/>
              <w:bottom w:val="nil"/>
              <w:right w:val="single" w:sz="4" w:space="0" w:color="auto"/>
            </w:tcBorders>
            <w:shd w:val="clear" w:color="000000" w:fill="FFFFFF"/>
            <w:vAlign w:val="center"/>
            <w:hideMark/>
          </w:tcPr>
          <w:p w14:paraId="7DF00B17" w14:textId="18FDD337" w:rsidR="00162F22" w:rsidRPr="00162F22" w:rsidRDefault="004C12FD" w:rsidP="00066C08">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 xml:space="preserve">2021/22 </w:t>
            </w:r>
            <w:r w:rsidR="00A7577D">
              <w:rPr>
                <w:rFonts w:eastAsia="Times New Roman" w:cs="Arial"/>
                <w:b/>
                <w:bCs/>
                <w:color w:val="000000"/>
                <w:sz w:val="18"/>
                <w:szCs w:val="18"/>
                <w:lang w:eastAsia="en-GB"/>
              </w:rPr>
              <w:t xml:space="preserve">– 2024/25 </w:t>
            </w:r>
            <w:r w:rsidRPr="00CF063B">
              <w:rPr>
                <w:rFonts w:eastAsia="Times New Roman" w:cs="Arial"/>
                <w:b/>
                <w:bCs/>
                <w:color w:val="000000"/>
                <w:sz w:val="18"/>
                <w:szCs w:val="18"/>
                <w:lang w:eastAsia="en-GB"/>
              </w:rPr>
              <w:t xml:space="preserve">Capital </w:t>
            </w:r>
            <w:r w:rsidR="00925D39" w:rsidRPr="00CF063B">
              <w:rPr>
                <w:rFonts w:eastAsia="Times New Roman" w:cs="Arial"/>
                <w:b/>
                <w:bCs/>
                <w:color w:val="000000"/>
                <w:sz w:val="18"/>
                <w:szCs w:val="18"/>
                <w:lang w:eastAsia="en-GB"/>
              </w:rPr>
              <w:t>Strategy:</w:t>
            </w:r>
            <w:r w:rsidRPr="00CF063B">
              <w:rPr>
                <w:rFonts w:eastAsia="Times New Roman" w:cs="Arial"/>
                <w:b/>
                <w:bCs/>
                <w:color w:val="000000"/>
                <w:sz w:val="18"/>
                <w:szCs w:val="18"/>
                <w:lang w:eastAsia="en-GB"/>
              </w:rPr>
              <w:t xml:space="preserve"> Acceptable Risk Managed</w:t>
            </w:r>
          </w:p>
        </w:tc>
        <w:tc>
          <w:tcPr>
            <w:tcW w:w="1435" w:type="dxa"/>
            <w:tcBorders>
              <w:top w:val="single" w:sz="8" w:space="0" w:color="auto"/>
              <w:left w:val="nil"/>
              <w:bottom w:val="nil"/>
              <w:right w:val="single" w:sz="4" w:space="0" w:color="auto"/>
            </w:tcBorders>
            <w:shd w:val="clear" w:color="000000" w:fill="FFFFFF"/>
            <w:vAlign w:val="center"/>
            <w:hideMark/>
          </w:tcPr>
          <w:p w14:paraId="7CE6778C" w14:textId="5C9CB108" w:rsidR="00162F22" w:rsidRPr="00162F22" w:rsidRDefault="004C12FD" w:rsidP="00066C08">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 xml:space="preserve">2021/22 </w:t>
            </w:r>
            <w:r w:rsidR="00A7577D">
              <w:rPr>
                <w:rFonts w:eastAsia="Times New Roman" w:cs="Arial"/>
                <w:b/>
                <w:bCs/>
                <w:color w:val="000000"/>
                <w:sz w:val="18"/>
                <w:szCs w:val="18"/>
                <w:lang w:eastAsia="en-GB"/>
              </w:rPr>
              <w:t xml:space="preserve">– 2024/25 </w:t>
            </w:r>
            <w:r w:rsidRPr="00CF063B">
              <w:rPr>
                <w:rFonts w:eastAsia="Times New Roman" w:cs="Arial"/>
                <w:b/>
                <w:bCs/>
                <w:color w:val="000000"/>
                <w:sz w:val="18"/>
                <w:szCs w:val="18"/>
                <w:lang w:eastAsia="en-GB"/>
              </w:rPr>
              <w:t>Balanced Budget TAMP</w:t>
            </w:r>
          </w:p>
        </w:tc>
      </w:tr>
      <w:tr w:rsidR="000F56E2" w:rsidRPr="00162F22" w14:paraId="3376FA19" w14:textId="77777777" w:rsidTr="00D27640">
        <w:trPr>
          <w:trHeight w:val="255"/>
        </w:trPr>
        <w:tc>
          <w:tcPr>
            <w:tcW w:w="3742"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CB307EC" w14:textId="71A14EF4" w:rsidR="00066C08" w:rsidRPr="00CF063B" w:rsidRDefault="004C12FD" w:rsidP="00D27640">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Non-Core TAMP</w:t>
            </w:r>
          </w:p>
        </w:tc>
        <w:tc>
          <w:tcPr>
            <w:tcW w:w="1531" w:type="dxa"/>
            <w:tcBorders>
              <w:top w:val="single" w:sz="8" w:space="0" w:color="auto"/>
              <w:left w:val="nil"/>
              <w:bottom w:val="single" w:sz="4" w:space="0" w:color="auto"/>
              <w:right w:val="single" w:sz="4" w:space="0" w:color="auto"/>
            </w:tcBorders>
            <w:shd w:val="clear" w:color="auto" w:fill="FDE9D9" w:themeFill="accent6" w:themeFillTint="33"/>
            <w:vAlign w:val="center"/>
          </w:tcPr>
          <w:p w14:paraId="7B43EC15" w14:textId="77777777" w:rsidR="00066C08" w:rsidRPr="00CF063B" w:rsidRDefault="00066C08" w:rsidP="00D27640">
            <w:pPr>
              <w:spacing w:after="0" w:line="240" w:lineRule="auto"/>
              <w:jc w:val="center"/>
              <w:rPr>
                <w:rFonts w:eastAsia="Times New Roman" w:cs="Arial"/>
                <w:b/>
                <w:bCs/>
                <w:color w:val="000000"/>
                <w:sz w:val="18"/>
                <w:szCs w:val="18"/>
                <w:lang w:eastAsia="en-GB"/>
              </w:rPr>
            </w:pPr>
          </w:p>
        </w:tc>
        <w:tc>
          <w:tcPr>
            <w:tcW w:w="1414" w:type="dxa"/>
            <w:tcBorders>
              <w:top w:val="single" w:sz="8" w:space="0" w:color="auto"/>
              <w:left w:val="nil"/>
              <w:bottom w:val="single" w:sz="4" w:space="0" w:color="auto"/>
              <w:right w:val="single" w:sz="4" w:space="0" w:color="auto"/>
            </w:tcBorders>
            <w:shd w:val="clear" w:color="auto" w:fill="FDE9D9" w:themeFill="accent6" w:themeFillTint="33"/>
            <w:vAlign w:val="center"/>
          </w:tcPr>
          <w:p w14:paraId="77C4CB80" w14:textId="77777777" w:rsidR="00066C08" w:rsidRPr="00CF063B" w:rsidRDefault="00066C08" w:rsidP="00D27640">
            <w:pPr>
              <w:spacing w:after="0" w:line="240" w:lineRule="auto"/>
              <w:jc w:val="center"/>
              <w:rPr>
                <w:rFonts w:eastAsia="Times New Roman" w:cs="Arial"/>
                <w:b/>
                <w:bCs/>
                <w:color w:val="000000"/>
                <w:sz w:val="18"/>
                <w:szCs w:val="18"/>
                <w:lang w:eastAsia="en-GB"/>
              </w:rPr>
            </w:pPr>
          </w:p>
        </w:tc>
        <w:tc>
          <w:tcPr>
            <w:tcW w:w="1701" w:type="dxa"/>
            <w:tcBorders>
              <w:top w:val="single" w:sz="8" w:space="0" w:color="auto"/>
              <w:left w:val="nil"/>
              <w:bottom w:val="single" w:sz="4" w:space="0" w:color="auto"/>
              <w:right w:val="single" w:sz="4" w:space="0" w:color="auto"/>
            </w:tcBorders>
            <w:shd w:val="clear" w:color="auto" w:fill="FDE9D9" w:themeFill="accent6" w:themeFillTint="33"/>
            <w:vAlign w:val="center"/>
          </w:tcPr>
          <w:p w14:paraId="53BFE0AA" w14:textId="77777777" w:rsidR="00066C08" w:rsidRPr="00CF063B" w:rsidRDefault="00066C08" w:rsidP="00D27640">
            <w:pPr>
              <w:spacing w:after="0" w:line="240" w:lineRule="auto"/>
              <w:jc w:val="center"/>
              <w:rPr>
                <w:rFonts w:eastAsia="Times New Roman" w:cs="Arial"/>
                <w:b/>
                <w:bCs/>
                <w:color w:val="000000"/>
                <w:sz w:val="18"/>
                <w:szCs w:val="18"/>
                <w:lang w:eastAsia="en-GB"/>
              </w:rPr>
            </w:pPr>
          </w:p>
        </w:tc>
        <w:tc>
          <w:tcPr>
            <w:tcW w:w="1435" w:type="dxa"/>
            <w:tcBorders>
              <w:top w:val="single" w:sz="8" w:space="0" w:color="auto"/>
              <w:left w:val="nil"/>
              <w:bottom w:val="single" w:sz="4" w:space="0" w:color="auto"/>
              <w:right w:val="single" w:sz="4" w:space="0" w:color="auto"/>
            </w:tcBorders>
            <w:shd w:val="clear" w:color="auto" w:fill="FDE9D9" w:themeFill="accent6" w:themeFillTint="33"/>
            <w:vAlign w:val="center"/>
          </w:tcPr>
          <w:p w14:paraId="031ABAA5" w14:textId="77777777" w:rsidR="00066C08" w:rsidRPr="00CF063B" w:rsidRDefault="00066C08" w:rsidP="00D27640">
            <w:pPr>
              <w:spacing w:after="0" w:line="240" w:lineRule="auto"/>
              <w:jc w:val="center"/>
              <w:rPr>
                <w:rFonts w:eastAsia="Times New Roman" w:cs="Arial"/>
                <w:b/>
                <w:bCs/>
                <w:color w:val="000000"/>
                <w:sz w:val="18"/>
                <w:szCs w:val="18"/>
                <w:lang w:eastAsia="en-GB"/>
              </w:rPr>
            </w:pPr>
          </w:p>
        </w:tc>
      </w:tr>
      <w:tr w:rsidR="00925D39" w:rsidRPr="00162F22" w14:paraId="5B34A87A" w14:textId="77777777" w:rsidTr="00D27640">
        <w:trPr>
          <w:trHeight w:val="283"/>
        </w:trPr>
        <w:tc>
          <w:tcPr>
            <w:tcW w:w="374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34F405B" w14:textId="059734CD"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 xml:space="preserve">Risk </w:t>
            </w:r>
            <w:r w:rsidR="00CF063B">
              <w:rPr>
                <w:rFonts w:eastAsia="Times New Roman" w:cs="Arial"/>
                <w:b/>
                <w:bCs/>
                <w:color w:val="000000"/>
                <w:sz w:val="18"/>
                <w:szCs w:val="18"/>
                <w:lang w:eastAsia="en-GB"/>
              </w:rPr>
              <w:t>B</w:t>
            </w:r>
            <w:r w:rsidRPr="00162F22">
              <w:rPr>
                <w:rFonts w:eastAsia="Times New Roman" w:cs="Arial"/>
                <w:b/>
                <w:bCs/>
                <w:color w:val="000000"/>
                <w:sz w:val="18"/>
                <w:szCs w:val="18"/>
                <w:lang w:eastAsia="en-GB"/>
              </w:rPr>
              <w:t xml:space="preserve">ased </w:t>
            </w:r>
            <w:r w:rsidR="00CF063B">
              <w:rPr>
                <w:rFonts w:eastAsia="Times New Roman" w:cs="Arial"/>
                <w:b/>
                <w:bCs/>
                <w:color w:val="000000"/>
                <w:sz w:val="18"/>
                <w:szCs w:val="18"/>
                <w:lang w:eastAsia="en-GB"/>
              </w:rPr>
              <w:t>C</w:t>
            </w:r>
            <w:r w:rsidRPr="00162F22">
              <w:rPr>
                <w:rFonts w:eastAsia="Times New Roman" w:cs="Arial"/>
                <w:b/>
                <w:bCs/>
                <w:color w:val="000000"/>
                <w:sz w:val="18"/>
                <w:szCs w:val="18"/>
                <w:lang w:eastAsia="en-GB"/>
              </w:rPr>
              <w:t xml:space="preserve">ondition </w:t>
            </w:r>
            <w:r w:rsidR="00CF063B">
              <w:rPr>
                <w:rFonts w:eastAsia="Times New Roman" w:cs="Arial"/>
                <w:b/>
                <w:bCs/>
                <w:color w:val="000000"/>
                <w:sz w:val="18"/>
                <w:szCs w:val="18"/>
                <w:lang w:eastAsia="en-GB"/>
              </w:rPr>
              <w:t>A</w:t>
            </w:r>
            <w:r w:rsidRPr="00162F22">
              <w:rPr>
                <w:rFonts w:eastAsia="Times New Roman" w:cs="Arial"/>
                <w:b/>
                <w:bCs/>
                <w:color w:val="000000"/>
                <w:sz w:val="18"/>
                <w:szCs w:val="18"/>
                <w:lang w:eastAsia="en-GB"/>
              </w:rPr>
              <w:t>ssessments</w:t>
            </w:r>
          </w:p>
        </w:tc>
        <w:tc>
          <w:tcPr>
            <w:tcW w:w="1531" w:type="dxa"/>
            <w:tcBorders>
              <w:top w:val="single" w:sz="8" w:space="0" w:color="auto"/>
              <w:left w:val="nil"/>
              <w:bottom w:val="single" w:sz="4" w:space="0" w:color="auto"/>
              <w:right w:val="single" w:sz="4" w:space="0" w:color="auto"/>
            </w:tcBorders>
            <w:shd w:val="clear" w:color="000000" w:fill="FFFFFF"/>
            <w:vAlign w:val="center"/>
            <w:hideMark/>
          </w:tcPr>
          <w:p w14:paraId="12648561" w14:textId="3E2A77C9" w:rsidR="00162F22" w:rsidRPr="00162F22" w:rsidRDefault="00162F22" w:rsidP="00D27640">
            <w:pPr>
              <w:spacing w:after="0" w:line="240" w:lineRule="auto"/>
              <w:jc w:val="center"/>
              <w:rPr>
                <w:rFonts w:eastAsia="Times New Roman" w:cs="Arial"/>
                <w:b/>
                <w:bCs/>
                <w:color w:val="000000"/>
                <w:sz w:val="18"/>
                <w:szCs w:val="18"/>
                <w:lang w:eastAsia="en-GB"/>
              </w:rPr>
            </w:pPr>
          </w:p>
        </w:tc>
        <w:tc>
          <w:tcPr>
            <w:tcW w:w="1414" w:type="dxa"/>
            <w:tcBorders>
              <w:top w:val="single" w:sz="8" w:space="0" w:color="auto"/>
              <w:left w:val="nil"/>
              <w:bottom w:val="single" w:sz="4" w:space="0" w:color="auto"/>
              <w:right w:val="single" w:sz="4" w:space="0" w:color="auto"/>
            </w:tcBorders>
            <w:shd w:val="clear" w:color="000000" w:fill="FFFFFF"/>
            <w:vAlign w:val="center"/>
            <w:hideMark/>
          </w:tcPr>
          <w:p w14:paraId="355D950F" w14:textId="7E421E6D" w:rsidR="00162F22" w:rsidRPr="00162F22" w:rsidRDefault="00162F22" w:rsidP="00D27640">
            <w:pPr>
              <w:spacing w:after="0" w:line="240" w:lineRule="auto"/>
              <w:jc w:val="center"/>
              <w:rPr>
                <w:rFonts w:eastAsia="Times New Roman" w:cs="Arial"/>
                <w:b/>
                <w:bCs/>
                <w:color w:val="000000"/>
                <w:sz w:val="18"/>
                <w:szCs w:val="18"/>
                <w:lang w:eastAsia="en-GB"/>
              </w:rPr>
            </w:pP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622C417B" w14:textId="49963595" w:rsidR="00162F22" w:rsidRPr="00162F22" w:rsidRDefault="00162F22" w:rsidP="00D27640">
            <w:pPr>
              <w:spacing w:after="0" w:line="240" w:lineRule="auto"/>
              <w:jc w:val="center"/>
              <w:rPr>
                <w:rFonts w:eastAsia="Times New Roman" w:cs="Arial"/>
                <w:b/>
                <w:bCs/>
                <w:color w:val="000000"/>
                <w:sz w:val="18"/>
                <w:szCs w:val="18"/>
                <w:lang w:eastAsia="en-GB"/>
              </w:rPr>
            </w:pPr>
          </w:p>
        </w:tc>
        <w:tc>
          <w:tcPr>
            <w:tcW w:w="1435" w:type="dxa"/>
            <w:tcBorders>
              <w:top w:val="single" w:sz="8" w:space="0" w:color="auto"/>
              <w:left w:val="nil"/>
              <w:bottom w:val="single" w:sz="4" w:space="0" w:color="auto"/>
              <w:right w:val="single" w:sz="4" w:space="0" w:color="auto"/>
            </w:tcBorders>
            <w:shd w:val="clear" w:color="000000" w:fill="FFFFFF"/>
            <w:vAlign w:val="center"/>
            <w:hideMark/>
          </w:tcPr>
          <w:p w14:paraId="56D8EE23" w14:textId="229263E1" w:rsidR="00162F22" w:rsidRPr="00162F22" w:rsidRDefault="00162F22" w:rsidP="00D27640">
            <w:pPr>
              <w:spacing w:after="0" w:line="240" w:lineRule="auto"/>
              <w:jc w:val="center"/>
              <w:rPr>
                <w:rFonts w:eastAsia="Times New Roman" w:cs="Arial"/>
                <w:color w:val="000000"/>
                <w:sz w:val="18"/>
                <w:szCs w:val="18"/>
                <w:lang w:eastAsia="en-GB"/>
              </w:rPr>
            </w:pPr>
          </w:p>
        </w:tc>
      </w:tr>
      <w:tr w:rsidR="00925D39" w:rsidRPr="00162F22" w14:paraId="3626DD56" w14:textId="77777777" w:rsidTr="00D27640">
        <w:trPr>
          <w:trHeight w:val="283"/>
        </w:trPr>
        <w:tc>
          <w:tcPr>
            <w:tcW w:w="3742" w:type="dxa"/>
            <w:tcBorders>
              <w:top w:val="nil"/>
              <w:left w:val="single" w:sz="8" w:space="0" w:color="auto"/>
              <w:bottom w:val="single" w:sz="4" w:space="0" w:color="auto"/>
              <w:right w:val="single" w:sz="4" w:space="0" w:color="auto"/>
            </w:tcBorders>
            <w:shd w:val="clear" w:color="auto" w:fill="auto"/>
            <w:vAlign w:val="center"/>
            <w:hideMark/>
          </w:tcPr>
          <w:p w14:paraId="0E304284" w14:textId="1AFD9FA9"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Structures: P</w:t>
            </w:r>
            <w:r w:rsidR="004C12FD" w:rsidRPr="00CF063B">
              <w:rPr>
                <w:rFonts w:eastAsia="Times New Roman" w:cs="Arial"/>
                <w:color w:val="000000"/>
                <w:sz w:val="18"/>
                <w:szCs w:val="18"/>
                <w:lang w:eastAsia="en-GB"/>
              </w:rPr>
              <w:t>rinciple Bridge Inspections</w:t>
            </w:r>
          </w:p>
        </w:tc>
        <w:tc>
          <w:tcPr>
            <w:tcW w:w="1531" w:type="dxa"/>
            <w:tcBorders>
              <w:top w:val="nil"/>
              <w:left w:val="nil"/>
              <w:bottom w:val="single" w:sz="4" w:space="0" w:color="auto"/>
              <w:right w:val="single" w:sz="4" w:space="0" w:color="auto"/>
            </w:tcBorders>
            <w:shd w:val="clear" w:color="000000" w:fill="FFFFFF"/>
            <w:vAlign w:val="center"/>
          </w:tcPr>
          <w:p w14:paraId="6C746E88" w14:textId="1D0F266D"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4" w:space="0" w:color="auto"/>
              <w:right w:val="single" w:sz="4" w:space="0" w:color="auto"/>
            </w:tcBorders>
            <w:shd w:val="clear" w:color="000000" w:fill="FFFFFF"/>
            <w:vAlign w:val="center"/>
            <w:hideMark/>
          </w:tcPr>
          <w:p w14:paraId="49C15A88" w14:textId="24647D5F" w:rsidR="00162F22" w:rsidRPr="00162F22" w:rsidRDefault="00925D39"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£600,000</w:t>
            </w:r>
          </w:p>
        </w:tc>
        <w:tc>
          <w:tcPr>
            <w:tcW w:w="1701" w:type="dxa"/>
            <w:tcBorders>
              <w:top w:val="nil"/>
              <w:left w:val="nil"/>
              <w:bottom w:val="single" w:sz="4" w:space="0" w:color="auto"/>
              <w:right w:val="single" w:sz="4" w:space="0" w:color="auto"/>
            </w:tcBorders>
            <w:shd w:val="clear" w:color="000000" w:fill="FFFFFF"/>
            <w:vAlign w:val="center"/>
            <w:hideMark/>
          </w:tcPr>
          <w:p w14:paraId="19BAE874" w14:textId="71DC2271"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925D39" w:rsidRPr="00CF063B">
              <w:rPr>
                <w:rFonts w:eastAsia="Times New Roman" w:cs="Arial"/>
                <w:color w:val="000000"/>
                <w:sz w:val="18"/>
                <w:szCs w:val="18"/>
                <w:lang w:eastAsia="en-GB"/>
              </w:rPr>
              <w:t>9</w:t>
            </w:r>
            <w:r w:rsidRPr="00162F22">
              <w:rPr>
                <w:rFonts w:eastAsia="Times New Roman" w:cs="Arial"/>
                <w:color w:val="000000"/>
                <w:sz w:val="18"/>
                <w:szCs w:val="18"/>
                <w:lang w:eastAsia="en-GB"/>
              </w:rPr>
              <w:t>00,000</w:t>
            </w:r>
          </w:p>
        </w:tc>
        <w:tc>
          <w:tcPr>
            <w:tcW w:w="1435" w:type="dxa"/>
            <w:tcBorders>
              <w:top w:val="nil"/>
              <w:left w:val="nil"/>
              <w:bottom w:val="single" w:sz="4" w:space="0" w:color="auto"/>
              <w:right w:val="single" w:sz="4" w:space="0" w:color="auto"/>
            </w:tcBorders>
            <w:shd w:val="clear" w:color="000000" w:fill="FFFFFF"/>
            <w:vAlign w:val="center"/>
            <w:hideMark/>
          </w:tcPr>
          <w:p w14:paraId="327463D6" w14:textId="4D761759"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925D39" w:rsidRPr="00CF063B">
              <w:rPr>
                <w:rFonts w:eastAsia="Times New Roman" w:cs="Arial"/>
                <w:sz w:val="18"/>
                <w:szCs w:val="18"/>
                <w:lang w:eastAsia="en-GB"/>
              </w:rPr>
              <w:t>579</w:t>
            </w:r>
            <w:r w:rsidRPr="00162F22">
              <w:rPr>
                <w:rFonts w:eastAsia="Times New Roman" w:cs="Arial"/>
                <w:sz w:val="18"/>
                <w:szCs w:val="18"/>
                <w:lang w:eastAsia="en-GB"/>
              </w:rPr>
              <w:t>,</w:t>
            </w:r>
            <w:r w:rsidR="00925D39" w:rsidRPr="00CF063B">
              <w:rPr>
                <w:rFonts w:eastAsia="Times New Roman" w:cs="Arial"/>
                <w:sz w:val="18"/>
                <w:szCs w:val="18"/>
                <w:lang w:eastAsia="en-GB"/>
              </w:rPr>
              <w:t>42</w:t>
            </w:r>
            <w:r w:rsidRPr="00162F22">
              <w:rPr>
                <w:rFonts w:eastAsia="Times New Roman" w:cs="Arial"/>
                <w:sz w:val="18"/>
                <w:szCs w:val="18"/>
                <w:lang w:eastAsia="en-GB"/>
              </w:rPr>
              <w:t>0</w:t>
            </w:r>
          </w:p>
        </w:tc>
      </w:tr>
      <w:tr w:rsidR="00925D39" w:rsidRPr="00162F22" w14:paraId="5974ADFC" w14:textId="77777777" w:rsidTr="00D27640">
        <w:trPr>
          <w:trHeight w:val="283"/>
        </w:trPr>
        <w:tc>
          <w:tcPr>
            <w:tcW w:w="3742" w:type="dxa"/>
            <w:tcBorders>
              <w:top w:val="nil"/>
              <w:left w:val="single" w:sz="8" w:space="0" w:color="auto"/>
              <w:bottom w:val="single" w:sz="4" w:space="0" w:color="auto"/>
              <w:right w:val="single" w:sz="4" w:space="0" w:color="auto"/>
            </w:tcBorders>
            <w:shd w:val="clear" w:color="auto" w:fill="auto"/>
            <w:vAlign w:val="center"/>
            <w:hideMark/>
          </w:tcPr>
          <w:p w14:paraId="0C0608DB" w14:textId="5D5DFE4E"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Structures:</w:t>
            </w:r>
            <w:r w:rsidR="004C12FD" w:rsidRPr="00CF063B">
              <w:rPr>
                <w:rFonts w:eastAsia="Times New Roman" w:cs="Arial"/>
                <w:color w:val="000000"/>
                <w:sz w:val="18"/>
                <w:szCs w:val="18"/>
                <w:lang w:eastAsia="en-GB"/>
              </w:rPr>
              <w:t xml:space="preserve"> </w:t>
            </w:r>
            <w:r w:rsidRPr="00162F22">
              <w:rPr>
                <w:rFonts w:eastAsia="Times New Roman" w:cs="Arial"/>
                <w:color w:val="000000"/>
                <w:sz w:val="18"/>
                <w:szCs w:val="18"/>
                <w:lang w:eastAsia="en-GB"/>
              </w:rPr>
              <w:t>Risk Based</w:t>
            </w:r>
            <w:r w:rsidR="004C12FD" w:rsidRPr="00CF063B">
              <w:rPr>
                <w:rFonts w:eastAsia="Times New Roman" w:cs="Arial"/>
                <w:color w:val="000000"/>
                <w:sz w:val="18"/>
                <w:szCs w:val="18"/>
                <w:lang w:eastAsia="en-GB"/>
              </w:rPr>
              <w:t xml:space="preserve"> Assessments</w:t>
            </w:r>
          </w:p>
        </w:tc>
        <w:tc>
          <w:tcPr>
            <w:tcW w:w="1531" w:type="dxa"/>
            <w:tcBorders>
              <w:top w:val="nil"/>
              <w:left w:val="nil"/>
              <w:bottom w:val="single" w:sz="4" w:space="0" w:color="auto"/>
              <w:right w:val="single" w:sz="4" w:space="0" w:color="auto"/>
            </w:tcBorders>
            <w:shd w:val="clear" w:color="000000" w:fill="FFFFFF"/>
            <w:vAlign w:val="center"/>
          </w:tcPr>
          <w:p w14:paraId="5E8E8084" w14:textId="6941E1A3"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4" w:space="0" w:color="auto"/>
              <w:right w:val="single" w:sz="4" w:space="0" w:color="auto"/>
            </w:tcBorders>
            <w:shd w:val="clear" w:color="000000" w:fill="FFFFFF"/>
            <w:vAlign w:val="center"/>
            <w:hideMark/>
          </w:tcPr>
          <w:p w14:paraId="1BE52252" w14:textId="650E84E7" w:rsidR="00162F22" w:rsidRPr="00162F22" w:rsidRDefault="00925D39"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£315,000</w:t>
            </w:r>
          </w:p>
        </w:tc>
        <w:tc>
          <w:tcPr>
            <w:tcW w:w="1701" w:type="dxa"/>
            <w:tcBorders>
              <w:top w:val="nil"/>
              <w:left w:val="nil"/>
              <w:bottom w:val="single" w:sz="4" w:space="0" w:color="auto"/>
              <w:right w:val="single" w:sz="4" w:space="0" w:color="auto"/>
            </w:tcBorders>
            <w:shd w:val="clear" w:color="000000" w:fill="FFFFFF"/>
            <w:vAlign w:val="center"/>
            <w:hideMark/>
          </w:tcPr>
          <w:p w14:paraId="40625983" w14:textId="6B5DF74C"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925D39" w:rsidRPr="00CF063B">
              <w:rPr>
                <w:rFonts w:eastAsia="Times New Roman" w:cs="Arial"/>
                <w:color w:val="000000"/>
                <w:sz w:val="18"/>
                <w:szCs w:val="18"/>
                <w:lang w:eastAsia="en-GB"/>
              </w:rPr>
              <w:t>350</w:t>
            </w:r>
            <w:r w:rsidRPr="00162F22">
              <w:rPr>
                <w:rFonts w:eastAsia="Times New Roman" w:cs="Arial"/>
                <w:color w:val="000000"/>
                <w:sz w:val="18"/>
                <w:szCs w:val="18"/>
                <w:lang w:eastAsia="en-GB"/>
              </w:rPr>
              <w:t>,000</w:t>
            </w:r>
          </w:p>
        </w:tc>
        <w:tc>
          <w:tcPr>
            <w:tcW w:w="1435" w:type="dxa"/>
            <w:tcBorders>
              <w:top w:val="nil"/>
              <w:left w:val="nil"/>
              <w:bottom w:val="single" w:sz="4" w:space="0" w:color="auto"/>
              <w:right w:val="single" w:sz="4" w:space="0" w:color="auto"/>
            </w:tcBorders>
            <w:shd w:val="clear" w:color="000000" w:fill="FFFFFF"/>
            <w:vAlign w:val="center"/>
            <w:hideMark/>
          </w:tcPr>
          <w:p w14:paraId="1810D97F" w14:textId="62D8E18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£3</w:t>
            </w:r>
            <w:r w:rsidR="00925D39" w:rsidRPr="00CF063B">
              <w:rPr>
                <w:rFonts w:eastAsia="Times New Roman" w:cs="Arial"/>
                <w:sz w:val="18"/>
                <w:szCs w:val="18"/>
                <w:lang w:eastAsia="en-GB"/>
              </w:rPr>
              <w:t>04</w:t>
            </w:r>
            <w:r w:rsidRPr="00162F22">
              <w:rPr>
                <w:rFonts w:eastAsia="Times New Roman" w:cs="Arial"/>
                <w:sz w:val="18"/>
                <w:szCs w:val="18"/>
                <w:lang w:eastAsia="en-GB"/>
              </w:rPr>
              <w:t>,</w:t>
            </w:r>
            <w:r w:rsidR="00925D39" w:rsidRPr="00CF063B">
              <w:rPr>
                <w:rFonts w:eastAsia="Times New Roman" w:cs="Arial"/>
                <w:sz w:val="18"/>
                <w:szCs w:val="18"/>
                <w:lang w:eastAsia="en-GB"/>
              </w:rPr>
              <w:t>196</w:t>
            </w:r>
          </w:p>
        </w:tc>
      </w:tr>
      <w:tr w:rsidR="00925D39" w:rsidRPr="00162F22" w14:paraId="449EAE38" w14:textId="77777777" w:rsidTr="00D27640">
        <w:trPr>
          <w:trHeight w:val="283"/>
        </w:trPr>
        <w:tc>
          <w:tcPr>
            <w:tcW w:w="3742" w:type="dxa"/>
            <w:tcBorders>
              <w:top w:val="nil"/>
              <w:left w:val="single" w:sz="8" w:space="0" w:color="auto"/>
              <w:bottom w:val="single" w:sz="4" w:space="0" w:color="auto"/>
              <w:right w:val="single" w:sz="4" w:space="0" w:color="auto"/>
            </w:tcBorders>
            <w:shd w:val="clear" w:color="auto" w:fill="auto"/>
            <w:vAlign w:val="center"/>
            <w:hideMark/>
          </w:tcPr>
          <w:p w14:paraId="6C437602" w14:textId="4424E8B3"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Street Lighting</w:t>
            </w:r>
            <w:r w:rsidR="004C12FD" w:rsidRPr="00CF063B">
              <w:rPr>
                <w:rFonts w:eastAsia="Times New Roman" w:cs="Arial"/>
                <w:color w:val="000000"/>
                <w:sz w:val="18"/>
                <w:szCs w:val="18"/>
                <w:lang w:eastAsia="en-GB"/>
              </w:rPr>
              <w:t>: Risk Based Inspections &amp; Column Replacements</w:t>
            </w:r>
          </w:p>
        </w:tc>
        <w:tc>
          <w:tcPr>
            <w:tcW w:w="1531" w:type="dxa"/>
            <w:tcBorders>
              <w:top w:val="nil"/>
              <w:left w:val="nil"/>
              <w:bottom w:val="single" w:sz="4" w:space="0" w:color="auto"/>
              <w:right w:val="single" w:sz="4" w:space="0" w:color="auto"/>
            </w:tcBorders>
            <w:shd w:val="clear" w:color="000000" w:fill="FFFFFF"/>
            <w:vAlign w:val="center"/>
          </w:tcPr>
          <w:p w14:paraId="73132648" w14:textId="1F7A1357"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4" w:space="0" w:color="auto"/>
              <w:right w:val="single" w:sz="4" w:space="0" w:color="auto"/>
            </w:tcBorders>
            <w:shd w:val="clear" w:color="000000" w:fill="FFFFFF"/>
            <w:vAlign w:val="center"/>
            <w:hideMark/>
          </w:tcPr>
          <w:p w14:paraId="40B0863A" w14:textId="790D8DC5" w:rsidR="00162F22" w:rsidRPr="00162F22" w:rsidRDefault="00925D39"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£500,000</w:t>
            </w:r>
          </w:p>
        </w:tc>
        <w:tc>
          <w:tcPr>
            <w:tcW w:w="1701" w:type="dxa"/>
            <w:tcBorders>
              <w:top w:val="nil"/>
              <w:left w:val="nil"/>
              <w:bottom w:val="single" w:sz="4" w:space="0" w:color="auto"/>
              <w:right w:val="single" w:sz="4" w:space="0" w:color="auto"/>
            </w:tcBorders>
            <w:shd w:val="clear" w:color="000000" w:fill="FFFFFF"/>
            <w:vAlign w:val="center"/>
            <w:hideMark/>
          </w:tcPr>
          <w:p w14:paraId="4F1A3277" w14:textId="04EA99C3"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925D39" w:rsidRPr="00CF063B">
              <w:rPr>
                <w:rFonts w:eastAsia="Times New Roman" w:cs="Arial"/>
                <w:color w:val="000000"/>
                <w:sz w:val="18"/>
                <w:szCs w:val="18"/>
                <w:lang w:eastAsia="en-GB"/>
              </w:rPr>
              <w:t>7</w:t>
            </w:r>
            <w:r w:rsidRPr="00162F22">
              <w:rPr>
                <w:rFonts w:eastAsia="Times New Roman" w:cs="Arial"/>
                <w:color w:val="000000"/>
                <w:sz w:val="18"/>
                <w:szCs w:val="18"/>
                <w:lang w:eastAsia="en-GB"/>
              </w:rPr>
              <w:t>50,000</w:t>
            </w:r>
          </w:p>
        </w:tc>
        <w:tc>
          <w:tcPr>
            <w:tcW w:w="1435" w:type="dxa"/>
            <w:tcBorders>
              <w:top w:val="nil"/>
              <w:left w:val="nil"/>
              <w:bottom w:val="single" w:sz="4" w:space="0" w:color="auto"/>
              <w:right w:val="single" w:sz="4" w:space="0" w:color="auto"/>
            </w:tcBorders>
            <w:shd w:val="clear" w:color="000000" w:fill="FFFFFF"/>
            <w:vAlign w:val="center"/>
            <w:hideMark/>
          </w:tcPr>
          <w:p w14:paraId="3B0EDF70" w14:textId="603C046A"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925D39" w:rsidRPr="00CF063B">
              <w:rPr>
                <w:rFonts w:eastAsia="Times New Roman" w:cs="Arial"/>
                <w:sz w:val="18"/>
                <w:szCs w:val="18"/>
                <w:lang w:eastAsia="en-GB"/>
              </w:rPr>
              <w:t>482,850</w:t>
            </w:r>
          </w:p>
        </w:tc>
      </w:tr>
      <w:tr w:rsidR="00925D39" w:rsidRPr="00162F22" w14:paraId="1E58F459" w14:textId="77777777" w:rsidTr="00D27640">
        <w:trPr>
          <w:trHeight w:val="283"/>
        </w:trPr>
        <w:tc>
          <w:tcPr>
            <w:tcW w:w="3742"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168E6EB7"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Vehicle Restraint Barriers</w:t>
            </w:r>
          </w:p>
        </w:tc>
        <w:tc>
          <w:tcPr>
            <w:tcW w:w="1531" w:type="dxa"/>
            <w:tcBorders>
              <w:top w:val="single" w:sz="4" w:space="0" w:color="auto"/>
              <w:left w:val="nil"/>
              <w:bottom w:val="single" w:sz="8" w:space="0" w:color="auto"/>
              <w:right w:val="single" w:sz="4" w:space="0" w:color="auto"/>
            </w:tcBorders>
            <w:shd w:val="clear" w:color="000000" w:fill="FFFFFF"/>
            <w:vAlign w:val="center"/>
          </w:tcPr>
          <w:p w14:paraId="713A2A2F" w14:textId="2944C461"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4" w:space="0" w:color="auto"/>
              <w:left w:val="nil"/>
              <w:bottom w:val="single" w:sz="8" w:space="0" w:color="auto"/>
              <w:right w:val="single" w:sz="4" w:space="0" w:color="auto"/>
            </w:tcBorders>
            <w:shd w:val="clear" w:color="000000" w:fill="FFFFFF"/>
            <w:vAlign w:val="center"/>
            <w:hideMark/>
          </w:tcPr>
          <w:p w14:paraId="5F7146C2" w14:textId="1804C870" w:rsidR="00162F22" w:rsidRPr="00162F22" w:rsidRDefault="00925D39"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£350,000</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14:paraId="17B459B8" w14:textId="4BA0B37E"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925D39" w:rsidRPr="00CF063B">
              <w:rPr>
                <w:rFonts w:eastAsia="Times New Roman" w:cs="Arial"/>
                <w:color w:val="000000"/>
                <w:sz w:val="18"/>
                <w:szCs w:val="18"/>
                <w:lang w:eastAsia="en-GB"/>
              </w:rPr>
              <w:t>400</w:t>
            </w:r>
            <w:r w:rsidRPr="00162F22">
              <w:rPr>
                <w:rFonts w:eastAsia="Times New Roman" w:cs="Arial"/>
                <w:color w:val="000000"/>
                <w:sz w:val="18"/>
                <w:szCs w:val="18"/>
                <w:lang w:eastAsia="en-GB"/>
              </w:rPr>
              <w:t>,000</w:t>
            </w:r>
          </w:p>
        </w:tc>
        <w:tc>
          <w:tcPr>
            <w:tcW w:w="1435" w:type="dxa"/>
            <w:tcBorders>
              <w:top w:val="single" w:sz="4" w:space="0" w:color="auto"/>
              <w:left w:val="nil"/>
              <w:bottom w:val="single" w:sz="8" w:space="0" w:color="auto"/>
              <w:right w:val="single" w:sz="4" w:space="0" w:color="auto"/>
            </w:tcBorders>
            <w:shd w:val="clear" w:color="000000" w:fill="FFFFFF"/>
            <w:vAlign w:val="center"/>
            <w:hideMark/>
          </w:tcPr>
          <w:p w14:paraId="7CE2A821" w14:textId="4B7C021A"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925D39" w:rsidRPr="00CF063B">
              <w:rPr>
                <w:rFonts w:eastAsia="Times New Roman" w:cs="Arial"/>
                <w:sz w:val="18"/>
                <w:szCs w:val="18"/>
                <w:lang w:eastAsia="en-GB"/>
              </w:rPr>
              <w:t>337,995</w:t>
            </w:r>
          </w:p>
        </w:tc>
      </w:tr>
      <w:tr w:rsidR="00925D39" w:rsidRPr="00162F22" w14:paraId="3D53FDE4" w14:textId="77777777" w:rsidTr="00D27640">
        <w:trPr>
          <w:trHeight w:val="283"/>
        </w:trPr>
        <w:tc>
          <w:tcPr>
            <w:tcW w:w="37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A2C5A2" w14:textId="77777777"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Planned Maintenance:</w:t>
            </w:r>
          </w:p>
        </w:tc>
        <w:tc>
          <w:tcPr>
            <w:tcW w:w="1531" w:type="dxa"/>
            <w:tcBorders>
              <w:top w:val="single" w:sz="8" w:space="0" w:color="auto"/>
              <w:left w:val="nil"/>
              <w:bottom w:val="single" w:sz="4" w:space="0" w:color="auto"/>
              <w:right w:val="single" w:sz="4" w:space="0" w:color="auto"/>
            </w:tcBorders>
            <w:shd w:val="clear" w:color="000000" w:fill="FFFFFF"/>
            <w:vAlign w:val="center"/>
            <w:hideMark/>
          </w:tcPr>
          <w:p w14:paraId="6084C6BE" w14:textId="466A88B3"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8" w:space="0" w:color="auto"/>
              <w:left w:val="nil"/>
              <w:bottom w:val="single" w:sz="4" w:space="0" w:color="auto"/>
              <w:right w:val="single" w:sz="4" w:space="0" w:color="auto"/>
            </w:tcBorders>
            <w:shd w:val="clear" w:color="000000" w:fill="FFFFFF"/>
            <w:vAlign w:val="center"/>
            <w:hideMark/>
          </w:tcPr>
          <w:p w14:paraId="60C960A1" w14:textId="42FBA807" w:rsidR="00162F22" w:rsidRPr="00162F22" w:rsidRDefault="00162F22" w:rsidP="00D27640">
            <w:pPr>
              <w:spacing w:after="0" w:line="240" w:lineRule="auto"/>
              <w:jc w:val="center"/>
              <w:rPr>
                <w:rFonts w:eastAsia="Times New Roman" w:cs="Arial"/>
                <w:color w:val="000000"/>
                <w:sz w:val="18"/>
                <w:szCs w:val="18"/>
                <w:lang w:eastAsia="en-GB"/>
              </w:rPr>
            </w:pP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288CF920" w14:textId="038CE28D" w:rsidR="00162F22" w:rsidRPr="00162F22" w:rsidRDefault="00162F22" w:rsidP="00D27640">
            <w:pPr>
              <w:spacing w:after="0" w:line="240" w:lineRule="auto"/>
              <w:jc w:val="center"/>
              <w:rPr>
                <w:rFonts w:eastAsia="Times New Roman" w:cs="Arial"/>
                <w:color w:val="000000"/>
                <w:sz w:val="18"/>
                <w:szCs w:val="18"/>
                <w:lang w:eastAsia="en-GB"/>
              </w:rPr>
            </w:pPr>
          </w:p>
        </w:tc>
        <w:tc>
          <w:tcPr>
            <w:tcW w:w="1435" w:type="dxa"/>
            <w:tcBorders>
              <w:top w:val="single" w:sz="8" w:space="0" w:color="auto"/>
              <w:left w:val="nil"/>
              <w:bottom w:val="single" w:sz="4" w:space="0" w:color="auto"/>
              <w:right w:val="single" w:sz="4" w:space="0" w:color="auto"/>
            </w:tcBorders>
            <w:shd w:val="clear" w:color="000000" w:fill="FFFFFF"/>
            <w:vAlign w:val="center"/>
            <w:hideMark/>
          </w:tcPr>
          <w:p w14:paraId="433E0509" w14:textId="54089E71" w:rsidR="00162F22" w:rsidRPr="00162F22" w:rsidRDefault="00162F22" w:rsidP="00D27640">
            <w:pPr>
              <w:spacing w:after="0" w:line="240" w:lineRule="auto"/>
              <w:jc w:val="center"/>
              <w:rPr>
                <w:rFonts w:eastAsia="Times New Roman" w:cs="Arial"/>
                <w:color w:val="000000"/>
                <w:sz w:val="18"/>
                <w:szCs w:val="18"/>
                <w:lang w:eastAsia="en-GB"/>
              </w:rPr>
            </w:pPr>
          </w:p>
        </w:tc>
      </w:tr>
      <w:tr w:rsidR="00925D39" w:rsidRPr="00162F22" w14:paraId="772FE228"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5A3FE294" w14:textId="2543376A" w:rsidR="00162F22" w:rsidRPr="00162F22" w:rsidRDefault="004C12FD"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Preventative</w:t>
            </w:r>
            <w:r w:rsidR="00162F22" w:rsidRPr="00162F22">
              <w:rPr>
                <w:rFonts w:eastAsia="Times New Roman" w:cs="Arial"/>
                <w:color w:val="000000"/>
                <w:sz w:val="18"/>
                <w:szCs w:val="18"/>
                <w:lang w:eastAsia="en-GB"/>
              </w:rPr>
              <w:t xml:space="preserve"> (Jet patching)</w:t>
            </w:r>
          </w:p>
        </w:tc>
        <w:tc>
          <w:tcPr>
            <w:tcW w:w="1531" w:type="dxa"/>
            <w:tcBorders>
              <w:top w:val="nil"/>
              <w:left w:val="nil"/>
              <w:bottom w:val="single" w:sz="4" w:space="0" w:color="auto"/>
              <w:right w:val="single" w:sz="4" w:space="0" w:color="auto"/>
            </w:tcBorders>
            <w:shd w:val="clear" w:color="000000" w:fill="FFFFFF"/>
            <w:vAlign w:val="center"/>
            <w:hideMark/>
          </w:tcPr>
          <w:p w14:paraId="5FE41DEE" w14:textId="000B0CEE"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4" w:space="0" w:color="auto"/>
              <w:right w:val="single" w:sz="4" w:space="0" w:color="auto"/>
            </w:tcBorders>
            <w:shd w:val="clear" w:color="000000" w:fill="FFFFFF"/>
            <w:vAlign w:val="center"/>
            <w:hideMark/>
          </w:tcPr>
          <w:p w14:paraId="4D5D2F51" w14:textId="4B69FCC5" w:rsidR="00162F22" w:rsidRPr="00162F22" w:rsidRDefault="00162F22" w:rsidP="00D27640">
            <w:pPr>
              <w:spacing w:after="0" w:line="240" w:lineRule="auto"/>
              <w:jc w:val="center"/>
              <w:rPr>
                <w:rFonts w:eastAsia="Times New Roman" w:cs="Arial"/>
                <w:color w:val="000000"/>
                <w:sz w:val="18"/>
                <w:szCs w:val="18"/>
                <w:lang w:eastAsia="en-GB"/>
              </w:rPr>
            </w:pPr>
          </w:p>
        </w:tc>
        <w:tc>
          <w:tcPr>
            <w:tcW w:w="1701" w:type="dxa"/>
            <w:tcBorders>
              <w:top w:val="nil"/>
              <w:left w:val="nil"/>
              <w:bottom w:val="single" w:sz="4" w:space="0" w:color="auto"/>
              <w:right w:val="single" w:sz="4" w:space="0" w:color="auto"/>
            </w:tcBorders>
            <w:shd w:val="clear" w:color="000000" w:fill="FFFFFF"/>
            <w:vAlign w:val="center"/>
            <w:hideMark/>
          </w:tcPr>
          <w:p w14:paraId="0AED19EF" w14:textId="17DEA33D" w:rsidR="00162F22" w:rsidRPr="00162F22" w:rsidRDefault="00CF063B" w:rsidP="00D27640">
            <w:pPr>
              <w:spacing w:after="0" w:line="240" w:lineRule="auto"/>
              <w:jc w:val="center"/>
              <w:rPr>
                <w:rFonts w:eastAsia="Times New Roman" w:cs="Arial"/>
                <w:color w:val="000000" w:themeColor="text1"/>
                <w:sz w:val="18"/>
                <w:szCs w:val="18"/>
                <w:lang w:eastAsia="en-GB"/>
              </w:rPr>
            </w:pPr>
            <w:r w:rsidRPr="00CF063B">
              <w:rPr>
                <w:rFonts w:eastAsia="Times New Roman" w:cs="Arial"/>
                <w:color w:val="000000" w:themeColor="text1"/>
                <w:sz w:val="18"/>
                <w:szCs w:val="18"/>
                <w:lang w:eastAsia="en-GB"/>
              </w:rPr>
              <w:t>£500,000</w:t>
            </w:r>
          </w:p>
        </w:tc>
        <w:tc>
          <w:tcPr>
            <w:tcW w:w="1435" w:type="dxa"/>
            <w:tcBorders>
              <w:top w:val="nil"/>
              <w:left w:val="nil"/>
              <w:bottom w:val="single" w:sz="4" w:space="0" w:color="auto"/>
              <w:right w:val="single" w:sz="4" w:space="0" w:color="auto"/>
            </w:tcBorders>
            <w:shd w:val="clear" w:color="000000" w:fill="FFFFFF"/>
            <w:vAlign w:val="center"/>
            <w:hideMark/>
          </w:tcPr>
          <w:p w14:paraId="4508A1B1" w14:textId="10B97370" w:rsidR="00162F22" w:rsidRPr="00162F22" w:rsidRDefault="00CF063B" w:rsidP="00D27640">
            <w:pPr>
              <w:spacing w:after="0" w:line="240" w:lineRule="auto"/>
              <w:jc w:val="center"/>
              <w:rPr>
                <w:rFonts w:eastAsia="Times New Roman" w:cs="Arial"/>
                <w:color w:val="000000" w:themeColor="text1"/>
                <w:sz w:val="18"/>
                <w:szCs w:val="18"/>
                <w:lang w:eastAsia="en-GB"/>
              </w:rPr>
            </w:pPr>
            <w:r w:rsidRPr="00CF063B">
              <w:rPr>
                <w:rFonts w:eastAsia="Times New Roman" w:cs="Arial"/>
                <w:color w:val="000000" w:themeColor="text1"/>
                <w:sz w:val="18"/>
                <w:szCs w:val="18"/>
                <w:lang w:eastAsia="en-GB"/>
              </w:rPr>
              <w:t>£500,000</w:t>
            </w:r>
          </w:p>
        </w:tc>
      </w:tr>
      <w:tr w:rsidR="00925D39" w:rsidRPr="00162F22" w14:paraId="4260FEFD"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03041717" w14:textId="7777777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Moss Roads</w:t>
            </w:r>
          </w:p>
        </w:tc>
        <w:tc>
          <w:tcPr>
            <w:tcW w:w="1531" w:type="dxa"/>
            <w:tcBorders>
              <w:top w:val="nil"/>
              <w:left w:val="nil"/>
              <w:bottom w:val="single" w:sz="4" w:space="0" w:color="auto"/>
              <w:right w:val="single" w:sz="4" w:space="0" w:color="auto"/>
            </w:tcBorders>
            <w:shd w:val="clear" w:color="000000" w:fill="FFFFFF"/>
            <w:noWrap/>
            <w:vAlign w:val="center"/>
            <w:hideMark/>
          </w:tcPr>
          <w:p w14:paraId="4EF678E3" w14:textId="76FCA502"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£7</w:t>
            </w:r>
            <w:r w:rsidR="00925D39" w:rsidRPr="00CF063B">
              <w:rPr>
                <w:rFonts w:eastAsia="Times New Roman" w:cs="Arial"/>
                <w:color w:val="000000"/>
                <w:sz w:val="18"/>
                <w:szCs w:val="18"/>
                <w:lang w:eastAsia="en-GB"/>
              </w:rPr>
              <w:t>0</w:t>
            </w:r>
            <w:r w:rsidRPr="00162F22">
              <w:rPr>
                <w:rFonts w:eastAsia="Times New Roman" w:cs="Arial"/>
                <w:color w:val="000000"/>
                <w:sz w:val="18"/>
                <w:szCs w:val="18"/>
                <w:lang w:eastAsia="en-GB"/>
              </w:rPr>
              <w:t>0,000</w:t>
            </w:r>
          </w:p>
        </w:tc>
        <w:tc>
          <w:tcPr>
            <w:tcW w:w="1414" w:type="dxa"/>
            <w:tcBorders>
              <w:top w:val="nil"/>
              <w:left w:val="nil"/>
              <w:bottom w:val="single" w:sz="4" w:space="0" w:color="auto"/>
              <w:right w:val="single" w:sz="4" w:space="0" w:color="auto"/>
            </w:tcBorders>
            <w:shd w:val="clear" w:color="000000" w:fill="FFFFFF"/>
            <w:noWrap/>
            <w:vAlign w:val="center"/>
            <w:hideMark/>
          </w:tcPr>
          <w:p w14:paraId="60888AC3" w14:textId="08DFDCCA" w:rsidR="00162F22" w:rsidRPr="00162F22" w:rsidRDefault="00925D39"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£750,000</w:t>
            </w:r>
          </w:p>
        </w:tc>
        <w:tc>
          <w:tcPr>
            <w:tcW w:w="1701" w:type="dxa"/>
            <w:tcBorders>
              <w:top w:val="nil"/>
              <w:left w:val="nil"/>
              <w:bottom w:val="single" w:sz="4" w:space="0" w:color="auto"/>
              <w:right w:val="single" w:sz="4" w:space="0" w:color="auto"/>
            </w:tcBorders>
            <w:shd w:val="clear" w:color="000000" w:fill="FFFFFF"/>
            <w:noWrap/>
            <w:vAlign w:val="center"/>
            <w:hideMark/>
          </w:tcPr>
          <w:p w14:paraId="714033B4" w14:textId="26486639" w:rsidR="00162F22" w:rsidRPr="00162F22" w:rsidRDefault="00925D39" w:rsidP="00D27640">
            <w:pPr>
              <w:spacing w:after="0" w:line="240" w:lineRule="auto"/>
              <w:jc w:val="center"/>
              <w:rPr>
                <w:rFonts w:eastAsia="Times New Roman" w:cs="Arial"/>
                <w:color w:val="000000" w:themeColor="text1"/>
                <w:sz w:val="18"/>
                <w:szCs w:val="18"/>
                <w:lang w:eastAsia="en-GB"/>
              </w:rPr>
            </w:pPr>
            <w:r w:rsidRPr="00CF063B">
              <w:rPr>
                <w:rFonts w:eastAsia="Times New Roman" w:cs="Arial"/>
                <w:color w:val="000000" w:themeColor="text1"/>
                <w:sz w:val="18"/>
                <w:szCs w:val="18"/>
                <w:lang w:eastAsia="en-GB"/>
              </w:rPr>
              <w:t>£750,000</w:t>
            </w:r>
          </w:p>
        </w:tc>
        <w:tc>
          <w:tcPr>
            <w:tcW w:w="1435" w:type="dxa"/>
            <w:tcBorders>
              <w:top w:val="nil"/>
              <w:left w:val="nil"/>
              <w:bottom w:val="single" w:sz="4" w:space="0" w:color="auto"/>
              <w:right w:val="single" w:sz="4" w:space="0" w:color="auto"/>
            </w:tcBorders>
            <w:shd w:val="clear" w:color="000000" w:fill="FFFFFF"/>
            <w:vAlign w:val="center"/>
            <w:hideMark/>
          </w:tcPr>
          <w:p w14:paraId="470C6A90" w14:textId="1D7660A0" w:rsidR="00162F22" w:rsidRPr="00162F22" w:rsidRDefault="00162F22" w:rsidP="00D27640">
            <w:pPr>
              <w:spacing w:after="0" w:line="240" w:lineRule="auto"/>
              <w:jc w:val="center"/>
              <w:rPr>
                <w:rFonts w:eastAsia="Times New Roman" w:cs="Arial"/>
                <w:color w:val="000000" w:themeColor="text1"/>
                <w:sz w:val="18"/>
                <w:szCs w:val="18"/>
                <w:lang w:eastAsia="en-GB"/>
              </w:rPr>
            </w:pPr>
            <w:r w:rsidRPr="00162F22">
              <w:rPr>
                <w:rFonts w:eastAsia="Times New Roman" w:cs="Arial"/>
                <w:color w:val="000000" w:themeColor="text1"/>
                <w:sz w:val="18"/>
                <w:szCs w:val="18"/>
                <w:lang w:eastAsia="en-GB"/>
              </w:rPr>
              <w:t>£7</w:t>
            </w:r>
            <w:r w:rsidR="00925D39" w:rsidRPr="00CF063B">
              <w:rPr>
                <w:rFonts w:eastAsia="Times New Roman" w:cs="Arial"/>
                <w:color w:val="000000" w:themeColor="text1"/>
                <w:sz w:val="18"/>
                <w:szCs w:val="18"/>
                <w:lang w:eastAsia="en-GB"/>
              </w:rPr>
              <w:t>24</w:t>
            </w:r>
            <w:r w:rsidRPr="00162F22">
              <w:rPr>
                <w:rFonts w:eastAsia="Times New Roman" w:cs="Arial"/>
                <w:color w:val="000000" w:themeColor="text1"/>
                <w:sz w:val="18"/>
                <w:szCs w:val="18"/>
                <w:lang w:eastAsia="en-GB"/>
              </w:rPr>
              <w:t>,</w:t>
            </w:r>
            <w:r w:rsidR="00CF063B" w:rsidRPr="00CF063B">
              <w:rPr>
                <w:rFonts w:eastAsia="Times New Roman" w:cs="Arial"/>
                <w:color w:val="000000" w:themeColor="text1"/>
                <w:sz w:val="18"/>
                <w:szCs w:val="18"/>
                <w:lang w:eastAsia="en-GB"/>
              </w:rPr>
              <w:t>275</w:t>
            </w:r>
          </w:p>
        </w:tc>
      </w:tr>
      <w:tr w:rsidR="00925D39" w:rsidRPr="00162F22" w14:paraId="74B9CAA2" w14:textId="77777777" w:rsidTr="00756A99">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1E23003C"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Safety Camera Maintenance</w:t>
            </w:r>
          </w:p>
        </w:tc>
        <w:tc>
          <w:tcPr>
            <w:tcW w:w="1531" w:type="dxa"/>
            <w:tcBorders>
              <w:top w:val="nil"/>
              <w:left w:val="nil"/>
              <w:bottom w:val="single" w:sz="4" w:space="0" w:color="auto"/>
              <w:right w:val="single" w:sz="4" w:space="0" w:color="auto"/>
            </w:tcBorders>
            <w:shd w:val="clear" w:color="000000" w:fill="FFFFFF"/>
            <w:noWrap/>
            <w:vAlign w:val="center"/>
          </w:tcPr>
          <w:p w14:paraId="3FCCCCD9" w14:textId="555336BC"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4" w:space="0" w:color="auto"/>
              <w:right w:val="single" w:sz="4" w:space="0" w:color="auto"/>
            </w:tcBorders>
            <w:shd w:val="clear" w:color="000000" w:fill="FFFFFF"/>
            <w:noWrap/>
            <w:vAlign w:val="center"/>
            <w:hideMark/>
          </w:tcPr>
          <w:p w14:paraId="2EDB6C83" w14:textId="139C438C" w:rsidR="00162F22" w:rsidRPr="00162F22" w:rsidRDefault="00CF063B"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£50,000</w:t>
            </w:r>
          </w:p>
        </w:tc>
        <w:tc>
          <w:tcPr>
            <w:tcW w:w="1701" w:type="dxa"/>
            <w:tcBorders>
              <w:top w:val="nil"/>
              <w:left w:val="nil"/>
              <w:bottom w:val="single" w:sz="4" w:space="0" w:color="auto"/>
              <w:right w:val="single" w:sz="4" w:space="0" w:color="auto"/>
            </w:tcBorders>
            <w:shd w:val="clear" w:color="000000" w:fill="FFFFFF"/>
            <w:noWrap/>
            <w:vAlign w:val="center"/>
            <w:hideMark/>
          </w:tcPr>
          <w:p w14:paraId="32DEA29A" w14:textId="37FAF2C6"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5</w:t>
            </w:r>
            <w:r w:rsidRPr="00162F22">
              <w:rPr>
                <w:rFonts w:eastAsia="Times New Roman" w:cs="Arial"/>
                <w:color w:val="000000"/>
                <w:sz w:val="18"/>
                <w:szCs w:val="18"/>
                <w:lang w:eastAsia="en-GB"/>
              </w:rPr>
              <w:t>0,000</w:t>
            </w:r>
          </w:p>
        </w:tc>
        <w:tc>
          <w:tcPr>
            <w:tcW w:w="1435" w:type="dxa"/>
            <w:tcBorders>
              <w:top w:val="nil"/>
              <w:left w:val="nil"/>
              <w:bottom w:val="single" w:sz="4" w:space="0" w:color="auto"/>
              <w:right w:val="single" w:sz="4" w:space="0" w:color="auto"/>
            </w:tcBorders>
            <w:shd w:val="clear" w:color="000000" w:fill="FFFFFF"/>
            <w:vAlign w:val="center"/>
            <w:hideMark/>
          </w:tcPr>
          <w:p w14:paraId="2210AC96" w14:textId="772B09E5"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48</w:t>
            </w: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285</w:t>
            </w:r>
          </w:p>
        </w:tc>
      </w:tr>
      <w:tr w:rsidR="00925D39" w:rsidRPr="00162F22" w14:paraId="0681F36C" w14:textId="77777777" w:rsidTr="00756A99">
        <w:trPr>
          <w:trHeight w:val="283"/>
        </w:trPr>
        <w:tc>
          <w:tcPr>
            <w:tcW w:w="374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69FA862" w14:textId="2717DA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Planned additional maintenance of ad-hoc or other highway assets</w:t>
            </w:r>
          </w:p>
        </w:tc>
        <w:tc>
          <w:tcPr>
            <w:tcW w:w="1531" w:type="dxa"/>
            <w:tcBorders>
              <w:top w:val="single" w:sz="4" w:space="0" w:color="auto"/>
              <w:left w:val="nil"/>
              <w:bottom w:val="single" w:sz="8" w:space="0" w:color="auto"/>
              <w:right w:val="single" w:sz="4" w:space="0" w:color="auto"/>
            </w:tcBorders>
            <w:shd w:val="clear" w:color="000000" w:fill="FFFFFF"/>
            <w:vAlign w:val="center"/>
          </w:tcPr>
          <w:p w14:paraId="060B7113" w14:textId="7467B19F"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4" w:space="0" w:color="auto"/>
              <w:left w:val="nil"/>
              <w:bottom w:val="single" w:sz="8" w:space="0" w:color="auto"/>
              <w:right w:val="nil"/>
            </w:tcBorders>
            <w:shd w:val="clear" w:color="000000" w:fill="FFFFFF"/>
            <w:noWrap/>
            <w:vAlign w:val="center"/>
            <w:hideMark/>
          </w:tcPr>
          <w:p w14:paraId="7FFDA596" w14:textId="6EC7CA53"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990,000</w:t>
            </w:r>
          </w:p>
        </w:tc>
        <w:tc>
          <w:tcPr>
            <w:tcW w:w="170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0C67AD5" w14:textId="108A5FFC"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990,000</w:t>
            </w:r>
          </w:p>
        </w:tc>
        <w:tc>
          <w:tcPr>
            <w:tcW w:w="1435" w:type="dxa"/>
            <w:tcBorders>
              <w:top w:val="single" w:sz="4" w:space="0" w:color="auto"/>
              <w:left w:val="nil"/>
              <w:bottom w:val="single" w:sz="8" w:space="0" w:color="auto"/>
              <w:right w:val="single" w:sz="4" w:space="0" w:color="auto"/>
            </w:tcBorders>
            <w:shd w:val="clear" w:color="000000" w:fill="FFFFFF"/>
            <w:vAlign w:val="center"/>
            <w:hideMark/>
          </w:tcPr>
          <w:p w14:paraId="1963034A" w14:textId="5991BEAF"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£6</w:t>
            </w:r>
            <w:r w:rsidR="00CF063B" w:rsidRPr="00CF063B">
              <w:rPr>
                <w:rFonts w:eastAsia="Times New Roman" w:cs="Arial"/>
                <w:color w:val="000000"/>
                <w:sz w:val="18"/>
                <w:szCs w:val="18"/>
                <w:lang w:eastAsia="en-GB"/>
              </w:rPr>
              <w:t>40</w:t>
            </w:r>
            <w:r w:rsidRPr="00162F22">
              <w:rPr>
                <w:rFonts w:eastAsia="Times New Roman" w:cs="Arial"/>
                <w:color w:val="000000"/>
                <w:sz w:val="18"/>
                <w:szCs w:val="18"/>
                <w:lang w:eastAsia="en-GB"/>
              </w:rPr>
              <w:t>,000</w:t>
            </w:r>
          </w:p>
        </w:tc>
      </w:tr>
      <w:tr w:rsidR="00925D39" w:rsidRPr="00162F22" w14:paraId="18F1AF75" w14:textId="77777777" w:rsidTr="00756A99">
        <w:trPr>
          <w:trHeight w:val="283"/>
        </w:trPr>
        <w:tc>
          <w:tcPr>
            <w:tcW w:w="3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6418ED" w14:textId="21CB2EE7" w:rsidR="00162F22" w:rsidRPr="00162F22" w:rsidRDefault="004C12FD" w:rsidP="00D27640">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C</w:t>
            </w:r>
            <w:r w:rsidR="00162F22" w:rsidRPr="00162F22">
              <w:rPr>
                <w:rFonts w:eastAsia="Times New Roman" w:cs="Arial"/>
                <w:b/>
                <w:bCs/>
                <w:color w:val="000000"/>
                <w:sz w:val="18"/>
                <w:szCs w:val="18"/>
                <w:lang w:eastAsia="en-GB"/>
              </w:rPr>
              <w:t>ommitments</w:t>
            </w:r>
          </w:p>
        </w:tc>
        <w:tc>
          <w:tcPr>
            <w:tcW w:w="1531" w:type="dxa"/>
            <w:tcBorders>
              <w:top w:val="single" w:sz="8" w:space="0" w:color="auto"/>
              <w:left w:val="nil"/>
              <w:bottom w:val="single" w:sz="4" w:space="0" w:color="auto"/>
              <w:right w:val="single" w:sz="4" w:space="0" w:color="auto"/>
            </w:tcBorders>
            <w:shd w:val="clear" w:color="000000" w:fill="FFFFFF"/>
            <w:vAlign w:val="center"/>
            <w:hideMark/>
          </w:tcPr>
          <w:p w14:paraId="151D19C3" w14:textId="7967BEEA"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8" w:space="0" w:color="auto"/>
              <w:left w:val="nil"/>
              <w:bottom w:val="single" w:sz="4" w:space="0" w:color="auto"/>
              <w:right w:val="single" w:sz="4" w:space="0" w:color="auto"/>
            </w:tcBorders>
            <w:shd w:val="clear" w:color="000000" w:fill="FFFFFF"/>
            <w:vAlign w:val="center"/>
            <w:hideMark/>
          </w:tcPr>
          <w:p w14:paraId="18720344" w14:textId="1C1413D7" w:rsidR="00162F22" w:rsidRPr="00162F22" w:rsidRDefault="00162F22" w:rsidP="00D27640">
            <w:pPr>
              <w:spacing w:after="0" w:line="240" w:lineRule="auto"/>
              <w:jc w:val="center"/>
              <w:rPr>
                <w:rFonts w:eastAsia="Times New Roman" w:cs="Arial"/>
                <w:color w:val="000000"/>
                <w:sz w:val="18"/>
                <w:szCs w:val="18"/>
                <w:lang w:eastAsia="en-GB"/>
              </w:rPr>
            </w:pP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68F40EBC" w14:textId="4949EA42" w:rsidR="00162F22" w:rsidRPr="00162F22" w:rsidRDefault="00162F22" w:rsidP="00D27640">
            <w:pPr>
              <w:spacing w:after="0" w:line="240" w:lineRule="auto"/>
              <w:jc w:val="center"/>
              <w:rPr>
                <w:rFonts w:eastAsia="Times New Roman" w:cs="Arial"/>
                <w:color w:val="000000"/>
                <w:sz w:val="18"/>
                <w:szCs w:val="18"/>
                <w:lang w:eastAsia="en-GB"/>
              </w:rPr>
            </w:pPr>
          </w:p>
        </w:tc>
        <w:tc>
          <w:tcPr>
            <w:tcW w:w="1435" w:type="dxa"/>
            <w:tcBorders>
              <w:top w:val="single" w:sz="8" w:space="0" w:color="auto"/>
              <w:left w:val="nil"/>
              <w:bottom w:val="single" w:sz="4" w:space="0" w:color="auto"/>
              <w:right w:val="single" w:sz="4" w:space="0" w:color="auto"/>
            </w:tcBorders>
            <w:shd w:val="clear" w:color="000000" w:fill="FFFFFF"/>
            <w:vAlign w:val="center"/>
            <w:hideMark/>
          </w:tcPr>
          <w:p w14:paraId="75E623A0" w14:textId="33ACC6EF" w:rsidR="00162F22" w:rsidRPr="00162F22" w:rsidRDefault="00162F22" w:rsidP="00D27640">
            <w:pPr>
              <w:spacing w:after="0" w:line="240" w:lineRule="auto"/>
              <w:jc w:val="center"/>
              <w:rPr>
                <w:rFonts w:eastAsia="Times New Roman" w:cs="Arial"/>
                <w:b/>
                <w:bCs/>
                <w:color w:val="000000"/>
                <w:sz w:val="18"/>
                <w:szCs w:val="18"/>
                <w:lang w:eastAsia="en-GB"/>
              </w:rPr>
            </w:pPr>
          </w:p>
        </w:tc>
      </w:tr>
      <w:tr w:rsidR="00925D39" w:rsidRPr="00162F22" w14:paraId="17EB5B67" w14:textId="77777777" w:rsidTr="00756A99">
        <w:trPr>
          <w:trHeight w:val="283"/>
        </w:trPr>
        <w:tc>
          <w:tcPr>
            <w:tcW w:w="374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E4D893" w14:textId="45C60FF5" w:rsidR="00162F22" w:rsidRPr="00162F22" w:rsidRDefault="00CF063B" w:rsidP="00D27640">
            <w:pPr>
              <w:spacing w:after="0" w:line="240" w:lineRule="auto"/>
              <w:jc w:val="center"/>
              <w:rPr>
                <w:rFonts w:eastAsia="Times New Roman" w:cs="Arial"/>
                <w:color w:val="000000"/>
                <w:sz w:val="18"/>
                <w:szCs w:val="18"/>
                <w:lang w:eastAsia="en-GB"/>
              </w:rPr>
            </w:pPr>
            <w:r w:rsidRPr="00CF063B">
              <w:rPr>
                <w:rFonts w:eastAsia="Times New Roman" w:cs="Arial"/>
                <w:color w:val="000000"/>
                <w:sz w:val="18"/>
                <w:szCs w:val="18"/>
                <w:lang w:eastAsia="en-GB"/>
              </w:rPr>
              <w:t>Safer Roads Resurfacing Contribution 2021/22</w:t>
            </w:r>
          </w:p>
        </w:tc>
        <w:tc>
          <w:tcPr>
            <w:tcW w:w="1531" w:type="dxa"/>
            <w:tcBorders>
              <w:top w:val="single" w:sz="4" w:space="0" w:color="auto"/>
              <w:left w:val="nil"/>
              <w:bottom w:val="single" w:sz="8" w:space="0" w:color="auto"/>
              <w:right w:val="single" w:sz="4" w:space="0" w:color="auto"/>
            </w:tcBorders>
            <w:shd w:val="clear" w:color="000000" w:fill="FFFFFF"/>
            <w:vAlign w:val="center"/>
            <w:hideMark/>
          </w:tcPr>
          <w:p w14:paraId="0855344E" w14:textId="06589A51"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4" w:space="0" w:color="auto"/>
              <w:left w:val="nil"/>
              <w:bottom w:val="single" w:sz="8" w:space="0" w:color="auto"/>
              <w:right w:val="nil"/>
            </w:tcBorders>
            <w:shd w:val="clear" w:color="000000" w:fill="FFFFFF"/>
            <w:noWrap/>
            <w:vAlign w:val="center"/>
            <w:hideMark/>
          </w:tcPr>
          <w:p w14:paraId="47C450F4" w14:textId="678E9F1E"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23</w:t>
            </w:r>
            <w:r w:rsidRPr="00162F22">
              <w:rPr>
                <w:rFonts w:eastAsia="Times New Roman" w:cs="Arial"/>
                <w:color w:val="000000"/>
                <w:sz w:val="18"/>
                <w:szCs w:val="18"/>
                <w:lang w:eastAsia="en-GB"/>
              </w:rPr>
              <w:t>0,000</w:t>
            </w:r>
          </w:p>
        </w:tc>
        <w:tc>
          <w:tcPr>
            <w:tcW w:w="170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1627875" w14:textId="16388A94"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£2</w:t>
            </w:r>
            <w:r w:rsidR="00CF063B" w:rsidRPr="00CF063B">
              <w:rPr>
                <w:rFonts w:eastAsia="Times New Roman" w:cs="Arial"/>
                <w:color w:val="000000"/>
                <w:sz w:val="18"/>
                <w:szCs w:val="18"/>
                <w:lang w:eastAsia="en-GB"/>
              </w:rPr>
              <w:t>30</w:t>
            </w:r>
            <w:r w:rsidRPr="00162F22">
              <w:rPr>
                <w:rFonts w:eastAsia="Times New Roman" w:cs="Arial"/>
                <w:color w:val="000000"/>
                <w:sz w:val="18"/>
                <w:szCs w:val="18"/>
                <w:lang w:eastAsia="en-GB"/>
              </w:rPr>
              <w:t>,000</w:t>
            </w:r>
          </w:p>
        </w:tc>
        <w:tc>
          <w:tcPr>
            <w:tcW w:w="1435" w:type="dxa"/>
            <w:tcBorders>
              <w:top w:val="single" w:sz="4" w:space="0" w:color="auto"/>
              <w:left w:val="nil"/>
              <w:bottom w:val="single" w:sz="8" w:space="0" w:color="auto"/>
              <w:right w:val="single" w:sz="4" w:space="0" w:color="auto"/>
            </w:tcBorders>
            <w:shd w:val="clear" w:color="000000" w:fill="FFFFFF"/>
            <w:vAlign w:val="center"/>
            <w:hideMark/>
          </w:tcPr>
          <w:p w14:paraId="49B3F5D9" w14:textId="61CFBBE2"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CF063B" w:rsidRPr="00CF063B">
              <w:rPr>
                <w:rFonts w:eastAsia="Times New Roman" w:cs="Arial"/>
                <w:color w:val="000000"/>
                <w:sz w:val="18"/>
                <w:szCs w:val="18"/>
                <w:lang w:eastAsia="en-GB"/>
              </w:rPr>
              <w:t>230</w:t>
            </w:r>
            <w:r w:rsidRPr="00162F22">
              <w:rPr>
                <w:rFonts w:eastAsia="Times New Roman" w:cs="Arial"/>
                <w:color w:val="000000"/>
                <w:sz w:val="18"/>
                <w:szCs w:val="18"/>
                <w:lang w:eastAsia="en-GB"/>
              </w:rPr>
              <w:t>,000</w:t>
            </w:r>
          </w:p>
        </w:tc>
      </w:tr>
      <w:tr w:rsidR="00925D39" w:rsidRPr="00162F22" w14:paraId="1C48573E" w14:textId="77777777" w:rsidTr="00D27640">
        <w:trPr>
          <w:trHeight w:val="283"/>
        </w:trPr>
        <w:tc>
          <w:tcPr>
            <w:tcW w:w="3742" w:type="dxa"/>
            <w:tcBorders>
              <w:top w:val="nil"/>
              <w:left w:val="single" w:sz="8" w:space="0" w:color="auto"/>
              <w:bottom w:val="single" w:sz="8" w:space="0" w:color="auto"/>
              <w:right w:val="single" w:sz="4" w:space="0" w:color="auto"/>
            </w:tcBorders>
            <w:shd w:val="clear" w:color="auto" w:fill="auto"/>
            <w:vAlign w:val="center"/>
            <w:hideMark/>
          </w:tcPr>
          <w:p w14:paraId="3B1E4287" w14:textId="77777777"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Non-Core Sub Total</w:t>
            </w:r>
          </w:p>
        </w:tc>
        <w:tc>
          <w:tcPr>
            <w:tcW w:w="1531" w:type="dxa"/>
            <w:tcBorders>
              <w:top w:val="nil"/>
              <w:left w:val="nil"/>
              <w:bottom w:val="single" w:sz="8" w:space="0" w:color="auto"/>
              <w:right w:val="single" w:sz="4" w:space="0" w:color="auto"/>
            </w:tcBorders>
            <w:shd w:val="clear" w:color="auto" w:fill="auto"/>
            <w:noWrap/>
            <w:vAlign w:val="center"/>
            <w:hideMark/>
          </w:tcPr>
          <w:p w14:paraId="12EB1328" w14:textId="220A9D55" w:rsidR="00162F22" w:rsidRPr="00162F22" w:rsidRDefault="00CF063B"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£700,000</w:t>
            </w:r>
          </w:p>
        </w:tc>
        <w:tc>
          <w:tcPr>
            <w:tcW w:w="1414" w:type="dxa"/>
            <w:tcBorders>
              <w:top w:val="nil"/>
              <w:left w:val="nil"/>
              <w:bottom w:val="single" w:sz="8" w:space="0" w:color="auto"/>
              <w:right w:val="single" w:sz="4" w:space="0" w:color="auto"/>
            </w:tcBorders>
            <w:shd w:val="clear" w:color="auto" w:fill="auto"/>
            <w:noWrap/>
            <w:vAlign w:val="center"/>
            <w:hideMark/>
          </w:tcPr>
          <w:p w14:paraId="5F4A9E66" w14:textId="1BA7C3EF"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sidR="00CF063B" w:rsidRPr="00CF063B">
              <w:rPr>
                <w:rFonts w:eastAsia="Times New Roman" w:cs="Arial"/>
                <w:b/>
                <w:bCs/>
                <w:color w:val="000000"/>
                <w:sz w:val="18"/>
                <w:szCs w:val="18"/>
                <w:lang w:eastAsia="en-GB"/>
              </w:rPr>
              <w:t>3,785,000</w:t>
            </w:r>
          </w:p>
        </w:tc>
        <w:tc>
          <w:tcPr>
            <w:tcW w:w="1701" w:type="dxa"/>
            <w:tcBorders>
              <w:top w:val="nil"/>
              <w:left w:val="nil"/>
              <w:bottom w:val="single" w:sz="8" w:space="0" w:color="auto"/>
              <w:right w:val="single" w:sz="4" w:space="0" w:color="auto"/>
            </w:tcBorders>
            <w:shd w:val="clear" w:color="auto" w:fill="auto"/>
            <w:noWrap/>
            <w:vAlign w:val="center"/>
            <w:hideMark/>
          </w:tcPr>
          <w:p w14:paraId="4CABAA16" w14:textId="7D15D0BB"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sidR="00CF063B" w:rsidRPr="00CF063B">
              <w:rPr>
                <w:rFonts w:eastAsia="Times New Roman" w:cs="Arial"/>
                <w:b/>
                <w:bCs/>
                <w:color w:val="000000"/>
                <w:sz w:val="18"/>
                <w:szCs w:val="18"/>
                <w:lang w:eastAsia="en-GB"/>
              </w:rPr>
              <w:t>4,570,000</w:t>
            </w:r>
          </w:p>
        </w:tc>
        <w:tc>
          <w:tcPr>
            <w:tcW w:w="1435" w:type="dxa"/>
            <w:tcBorders>
              <w:top w:val="nil"/>
              <w:left w:val="nil"/>
              <w:bottom w:val="single" w:sz="8" w:space="0" w:color="auto"/>
              <w:right w:val="single" w:sz="4" w:space="0" w:color="auto"/>
            </w:tcBorders>
            <w:shd w:val="clear" w:color="auto" w:fill="auto"/>
            <w:noWrap/>
            <w:vAlign w:val="center"/>
            <w:hideMark/>
          </w:tcPr>
          <w:p w14:paraId="70A8F192" w14:textId="4BD09F79" w:rsidR="00162F22" w:rsidRPr="00162F22" w:rsidRDefault="00CF063B" w:rsidP="00D27640">
            <w:pPr>
              <w:spacing w:after="0" w:line="240" w:lineRule="auto"/>
              <w:jc w:val="center"/>
              <w:rPr>
                <w:rFonts w:eastAsia="Times New Roman" w:cs="Arial"/>
                <w:b/>
                <w:bCs/>
                <w:color w:val="000000"/>
                <w:sz w:val="18"/>
                <w:szCs w:val="18"/>
                <w:lang w:eastAsia="en-GB"/>
              </w:rPr>
            </w:pPr>
            <w:r w:rsidRPr="00CF063B">
              <w:rPr>
                <w:rFonts w:eastAsia="Times New Roman" w:cs="Arial"/>
                <w:b/>
                <w:bCs/>
                <w:color w:val="000000"/>
                <w:sz w:val="18"/>
                <w:szCs w:val="18"/>
                <w:lang w:eastAsia="en-GB"/>
              </w:rPr>
              <w:t>£3,847,021</w:t>
            </w:r>
          </w:p>
        </w:tc>
      </w:tr>
      <w:tr w:rsidR="00925D39" w:rsidRPr="00162F22" w14:paraId="61482A32" w14:textId="77777777" w:rsidTr="00D27640">
        <w:trPr>
          <w:trHeight w:val="283"/>
        </w:trPr>
        <w:tc>
          <w:tcPr>
            <w:tcW w:w="3742" w:type="dxa"/>
            <w:tcBorders>
              <w:top w:val="single" w:sz="8" w:space="0" w:color="auto"/>
              <w:left w:val="single" w:sz="8" w:space="0" w:color="auto"/>
              <w:bottom w:val="single" w:sz="8" w:space="0" w:color="auto"/>
              <w:right w:val="single" w:sz="4" w:space="0" w:color="auto"/>
            </w:tcBorders>
            <w:shd w:val="clear" w:color="auto" w:fill="FDE9D9" w:themeFill="accent6" w:themeFillTint="33"/>
            <w:noWrap/>
            <w:vAlign w:val="center"/>
            <w:hideMark/>
          </w:tcPr>
          <w:p w14:paraId="0F19FB1A" w14:textId="77777777"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Core TAMP</w:t>
            </w:r>
          </w:p>
        </w:tc>
        <w:tc>
          <w:tcPr>
            <w:tcW w:w="1531" w:type="dxa"/>
            <w:tcBorders>
              <w:top w:val="single" w:sz="8" w:space="0" w:color="auto"/>
              <w:left w:val="nil"/>
              <w:bottom w:val="single" w:sz="8" w:space="0" w:color="auto"/>
              <w:right w:val="single" w:sz="4" w:space="0" w:color="auto"/>
            </w:tcBorders>
            <w:shd w:val="clear" w:color="auto" w:fill="FDE9D9" w:themeFill="accent6" w:themeFillTint="33"/>
            <w:noWrap/>
            <w:vAlign w:val="center"/>
            <w:hideMark/>
          </w:tcPr>
          <w:p w14:paraId="72C2D57B" w14:textId="1F79890A"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single" w:sz="8" w:space="0" w:color="auto"/>
              <w:left w:val="nil"/>
              <w:bottom w:val="single" w:sz="8" w:space="0" w:color="auto"/>
              <w:right w:val="single" w:sz="4" w:space="0" w:color="auto"/>
            </w:tcBorders>
            <w:shd w:val="clear" w:color="auto" w:fill="FDE9D9" w:themeFill="accent6" w:themeFillTint="33"/>
            <w:noWrap/>
            <w:vAlign w:val="center"/>
            <w:hideMark/>
          </w:tcPr>
          <w:p w14:paraId="3784C300" w14:textId="148B0B12" w:rsidR="00162F22" w:rsidRPr="00162F22" w:rsidRDefault="00162F22" w:rsidP="00D27640">
            <w:pPr>
              <w:spacing w:after="0" w:line="240" w:lineRule="auto"/>
              <w:jc w:val="center"/>
              <w:rPr>
                <w:rFonts w:eastAsia="Times New Roman" w:cs="Arial"/>
                <w:color w:val="000000"/>
                <w:sz w:val="18"/>
                <w:szCs w:val="18"/>
                <w:lang w:eastAsia="en-GB"/>
              </w:rPr>
            </w:pPr>
          </w:p>
        </w:tc>
        <w:tc>
          <w:tcPr>
            <w:tcW w:w="1701" w:type="dxa"/>
            <w:tcBorders>
              <w:top w:val="single" w:sz="8" w:space="0" w:color="auto"/>
              <w:left w:val="nil"/>
              <w:bottom w:val="single" w:sz="8" w:space="0" w:color="auto"/>
              <w:right w:val="single" w:sz="4" w:space="0" w:color="auto"/>
            </w:tcBorders>
            <w:shd w:val="clear" w:color="auto" w:fill="FDE9D9" w:themeFill="accent6" w:themeFillTint="33"/>
            <w:noWrap/>
            <w:vAlign w:val="center"/>
            <w:hideMark/>
          </w:tcPr>
          <w:p w14:paraId="7B399F74" w14:textId="35345B20" w:rsidR="00162F22" w:rsidRPr="00162F22" w:rsidRDefault="00162F22" w:rsidP="00D27640">
            <w:pPr>
              <w:spacing w:after="0" w:line="240" w:lineRule="auto"/>
              <w:jc w:val="center"/>
              <w:rPr>
                <w:rFonts w:eastAsia="Times New Roman" w:cs="Arial"/>
                <w:color w:val="000000"/>
                <w:sz w:val="18"/>
                <w:szCs w:val="18"/>
                <w:lang w:eastAsia="en-GB"/>
              </w:rPr>
            </w:pPr>
          </w:p>
        </w:tc>
        <w:tc>
          <w:tcPr>
            <w:tcW w:w="1435" w:type="dxa"/>
            <w:tcBorders>
              <w:top w:val="single" w:sz="8" w:space="0" w:color="auto"/>
              <w:left w:val="nil"/>
              <w:bottom w:val="single" w:sz="8" w:space="0" w:color="auto"/>
              <w:right w:val="single" w:sz="4" w:space="0" w:color="auto"/>
            </w:tcBorders>
            <w:shd w:val="clear" w:color="auto" w:fill="FDE9D9" w:themeFill="accent6" w:themeFillTint="33"/>
            <w:noWrap/>
            <w:vAlign w:val="center"/>
            <w:hideMark/>
          </w:tcPr>
          <w:p w14:paraId="6CA717C7" w14:textId="3498AD32" w:rsidR="00162F22" w:rsidRPr="00162F22" w:rsidRDefault="00162F22" w:rsidP="00D27640">
            <w:pPr>
              <w:spacing w:after="0" w:line="240" w:lineRule="auto"/>
              <w:jc w:val="center"/>
              <w:rPr>
                <w:rFonts w:eastAsia="Times New Roman" w:cs="Arial"/>
                <w:color w:val="000000"/>
                <w:sz w:val="18"/>
                <w:szCs w:val="18"/>
                <w:lang w:eastAsia="en-GB"/>
              </w:rPr>
            </w:pPr>
          </w:p>
        </w:tc>
      </w:tr>
      <w:tr w:rsidR="00925D39" w:rsidRPr="00162F22" w14:paraId="36F02F85" w14:textId="77777777" w:rsidTr="00D27640">
        <w:trPr>
          <w:trHeight w:val="283"/>
        </w:trPr>
        <w:tc>
          <w:tcPr>
            <w:tcW w:w="374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887B893" w14:textId="2D368BAC"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A</w:t>
            </w:r>
            <w:r w:rsidR="005F0777">
              <w:rPr>
                <w:rFonts w:eastAsia="Times New Roman" w:cs="Arial"/>
                <w:color w:val="000000"/>
                <w:sz w:val="18"/>
                <w:szCs w:val="18"/>
                <w:lang w:eastAsia="en-GB"/>
              </w:rPr>
              <w:t xml:space="preserve">, </w:t>
            </w:r>
            <w:r w:rsidRPr="00162F22">
              <w:rPr>
                <w:rFonts w:eastAsia="Times New Roman" w:cs="Arial"/>
                <w:color w:val="000000"/>
                <w:sz w:val="18"/>
                <w:szCs w:val="18"/>
                <w:lang w:eastAsia="en-GB"/>
              </w:rPr>
              <w:t>B</w:t>
            </w:r>
            <w:r w:rsidR="005F0777">
              <w:rPr>
                <w:rFonts w:eastAsia="Times New Roman" w:cs="Arial"/>
                <w:color w:val="000000"/>
                <w:sz w:val="18"/>
                <w:szCs w:val="18"/>
                <w:lang w:eastAsia="en-GB"/>
              </w:rPr>
              <w:t xml:space="preserve"> &amp; </w:t>
            </w:r>
            <w:r w:rsidRPr="00162F22">
              <w:rPr>
                <w:rFonts w:eastAsia="Times New Roman" w:cs="Arial"/>
                <w:color w:val="000000"/>
                <w:sz w:val="18"/>
                <w:szCs w:val="18"/>
                <w:lang w:eastAsia="en-GB"/>
              </w:rPr>
              <w:t>C</w:t>
            </w:r>
            <w:r w:rsidR="005F0777">
              <w:rPr>
                <w:rFonts w:eastAsia="Times New Roman" w:cs="Arial"/>
                <w:color w:val="000000"/>
                <w:sz w:val="18"/>
                <w:szCs w:val="18"/>
                <w:lang w:eastAsia="en-GB"/>
              </w:rPr>
              <w:t xml:space="preserve"> Roads</w:t>
            </w:r>
          </w:p>
        </w:tc>
        <w:tc>
          <w:tcPr>
            <w:tcW w:w="1531" w:type="dxa"/>
            <w:tcBorders>
              <w:top w:val="single" w:sz="8" w:space="0" w:color="auto"/>
              <w:left w:val="nil"/>
              <w:bottom w:val="single" w:sz="4" w:space="0" w:color="auto"/>
              <w:right w:val="single" w:sz="4" w:space="0" w:color="auto"/>
            </w:tcBorders>
            <w:shd w:val="clear" w:color="000000" w:fill="FFFFFF"/>
            <w:vAlign w:val="center"/>
            <w:hideMark/>
          </w:tcPr>
          <w:p w14:paraId="79C0B544" w14:textId="199ABED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3,000,000</w:t>
            </w:r>
          </w:p>
        </w:tc>
        <w:tc>
          <w:tcPr>
            <w:tcW w:w="1414" w:type="dxa"/>
            <w:tcBorders>
              <w:top w:val="single" w:sz="8" w:space="0" w:color="auto"/>
              <w:left w:val="nil"/>
              <w:bottom w:val="single" w:sz="4" w:space="0" w:color="auto"/>
              <w:right w:val="single" w:sz="4" w:space="0" w:color="auto"/>
            </w:tcBorders>
            <w:shd w:val="clear" w:color="000000" w:fill="FFFFFF"/>
            <w:vAlign w:val="center"/>
            <w:hideMark/>
          </w:tcPr>
          <w:p w14:paraId="70F6F80C" w14:textId="3C940672"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£4,500,000</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4D96D86C" w14:textId="1F4843B2"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0F56E2">
              <w:rPr>
                <w:rFonts w:eastAsia="Times New Roman" w:cs="Arial"/>
                <w:color w:val="000000"/>
                <w:sz w:val="18"/>
                <w:szCs w:val="18"/>
                <w:lang w:eastAsia="en-GB"/>
              </w:rPr>
              <w:t>9,700,000</w:t>
            </w:r>
          </w:p>
        </w:tc>
        <w:tc>
          <w:tcPr>
            <w:tcW w:w="1435" w:type="dxa"/>
            <w:tcBorders>
              <w:top w:val="single" w:sz="8" w:space="0" w:color="auto"/>
              <w:left w:val="nil"/>
              <w:bottom w:val="single" w:sz="4" w:space="0" w:color="auto"/>
              <w:right w:val="single" w:sz="4" w:space="0" w:color="auto"/>
            </w:tcBorders>
            <w:shd w:val="clear" w:color="000000" w:fill="FFFFFF"/>
            <w:vAlign w:val="center"/>
            <w:hideMark/>
          </w:tcPr>
          <w:p w14:paraId="2EF98F03" w14:textId="0B9F8E80"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£4,</w:t>
            </w:r>
            <w:r w:rsidR="00D2446E">
              <w:rPr>
                <w:rFonts w:eastAsia="Times New Roman" w:cs="Arial"/>
                <w:sz w:val="18"/>
                <w:szCs w:val="18"/>
                <w:lang w:eastAsia="en-GB"/>
              </w:rPr>
              <w:t>145,475</w:t>
            </w:r>
          </w:p>
        </w:tc>
      </w:tr>
      <w:tr w:rsidR="00925D39" w:rsidRPr="00162F22" w14:paraId="512044A9"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375BDB75"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Rural Unclassified</w:t>
            </w:r>
          </w:p>
        </w:tc>
        <w:tc>
          <w:tcPr>
            <w:tcW w:w="1531" w:type="dxa"/>
            <w:tcBorders>
              <w:top w:val="nil"/>
              <w:left w:val="nil"/>
              <w:bottom w:val="single" w:sz="4" w:space="0" w:color="auto"/>
              <w:right w:val="single" w:sz="4" w:space="0" w:color="auto"/>
            </w:tcBorders>
            <w:shd w:val="clear" w:color="000000" w:fill="FFFFFF"/>
            <w:vAlign w:val="center"/>
            <w:hideMark/>
          </w:tcPr>
          <w:p w14:paraId="59FEDEAF" w14:textId="595F211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5,500,000</w:t>
            </w:r>
          </w:p>
        </w:tc>
        <w:tc>
          <w:tcPr>
            <w:tcW w:w="1414" w:type="dxa"/>
            <w:tcBorders>
              <w:top w:val="nil"/>
              <w:left w:val="nil"/>
              <w:bottom w:val="single" w:sz="4" w:space="0" w:color="auto"/>
              <w:right w:val="single" w:sz="4" w:space="0" w:color="auto"/>
            </w:tcBorders>
            <w:shd w:val="clear" w:color="000000" w:fill="FFFFFF"/>
            <w:vAlign w:val="center"/>
            <w:hideMark/>
          </w:tcPr>
          <w:p w14:paraId="21B1CED8" w14:textId="2D8B11C5"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£1,750,000</w:t>
            </w:r>
          </w:p>
        </w:tc>
        <w:tc>
          <w:tcPr>
            <w:tcW w:w="1701" w:type="dxa"/>
            <w:tcBorders>
              <w:top w:val="nil"/>
              <w:left w:val="nil"/>
              <w:bottom w:val="single" w:sz="4" w:space="0" w:color="auto"/>
              <w:right w:val="single" w:sz="4" w:space="0" w:color="auto"/>
            </w:tcBorders>
            <w:shd w:val="clear" w:color="000000" w:fill="FFFFFF"/>
            <w:vAlign w:val="center"/>
            <w:hideMark/>
          </w:tcPr>
          <w:p w14:paraId="3D590431" w14:textId="3AFE198A"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£2,591,000</w:t>
            </w:r>
          </w:p>
        </w:tc>
        <w:tc>
          <w:tcPr>
            <w:tcW w:w="1435" w:type="dxa"/>
            <w:tcBorders>
              <w:top w:val="nil"/>
              <w:left w:val="nil"/>
              <w:bottom w:val="single" w:sz="4" w:space="0" w:color="auto"/>
              <w:right w:val="single" w:sz="4" w:space="0" w:color="auto"/>
            </w:tcBorders>
            <w:shd w:val="clear" w:color="000000" w:fill="FFFFFF"/>
            <w:vAlign w:val="center"/>
            <w:hideMark/>
          </w:tcPr>
          <w:p w14:paraId="1B02AFD5" w14:textId="37BCF51B"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D2446E">
              <w:rPr>
                <w:rFonts w:eastAsia="Times New Roman" w:cs="Arial"/>
                <w:sz w:val="18"/>
                <w:szCs w:val="18"/>
                <w:lang w:eastAsia="en-GB"/>
              </w:rPr>
              <w:t>1,602,475</w:t>
            </w:r>
          </w:p>
        </w:tc>
      </w:tr>
      <w:tr w:rsidR="00925D39" w:rsidRPr="00162F22" w14:paraId="58993D67"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5DF6EFC5"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Urban Unclassified</w:t>
            </w:r>
          </w:p>
        </w:tc>
        <w:tc>
          <w:tcPr>
            <w:tcW w:w="1531" w:type="dxa"/>
            <w:tcBorders>
              <w:top w:val="nil"/>
              <w:left w:val="nil"/>
              <w:bottom w:val="single" w:sz="4" w:space="0" w:color="auto"/>
              <w:right w:val="single" w:sz="4" w:space="0" w:color="auto"/>
            </w:tcBorders>
            <w:shd w:val="clear" w:color="000000" w:fill="FFFFFF"/>
            <w:vAlign w:val="center"/>
            <w:hideMark/>
          </w:tcPr>
          <w:p w14:paraId="65593361" w14:textId="518F764C"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5,500,000</w:t>
            </w:r>
          </w:p>
        </w:tc>
        <w:tc>
          <w:tcPr>
            <w:tcW w:w="1414" w:type="dxa"/>
            <w:tcBorders>
              <w:top w:val="nil"/>
              <w:left w:val="nil"/>
              <w:bottom w:val="single" w:sz="4" w:space="0" w:color="auto"/>
              <w:right w:val="single" w:sz="4" w:space="0" w:color="auto"/>
            </w:tcBorders>
            <w:shd w:val="clear" w:color="000000" w:fill="FFFFFF"/>
            <w:vAlign w:val="center"/>
            <w:hideMark/>
          </w:tcPr>
          <w:p w14:paraId="2A14EFC6" w14:textId="146ED904"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£3,750,000</w:t>
            </w:r>
          </w:p>
        </w:tc>
        <w:tc>
          <w:tcPr>
            <w:tcW w:w="1701" w:type="dxa"/>
            <w:tcBorders>
              <w:top w:val="nil"/>
              <w:left w:val="nil"/>
              <w:bottom w:val="single" w:sz="4" w:space="0" w:color="auto"/>
              <w:right w:val="single" w:sz="4" w:space="0" w:color="auto"/>
            </w:tcBorders>
            <w:shd w:val="clear" w:color="000000" w:fill="FFFFFF"/>
            <w:vAlign w:val="center"/>
            <w:hideMark/>
          </w:tcPr>
          <w:p w14:paraId="003F491D" w14:textId="3C2723B0"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0F56E2">
              <w:rPr>
                <w:rFonts w:eastAsia="Times New Roman" w:cs="Arial"/>
                <w:color w:val="000000"/>
                <w:sz w:val="18"/>
                <w:szCs w:val="18"/>
                <w:lang w:eastAsia="en-GB"/>
              </w:rPr>
              <w:t>6,400,000</w:t>
            </w:r>
          </w:p>
        </w:tc>
        <w:tc>
          <w:tcPr>
            <w:tcW w:w="1435" w:type="dxa"/>
            <w:tcBorders>
              <w:top w:val="nil"/>
              <w:left w:val="nil"/>
              <w:bottom w:val="single" w:sz="4" w:space="0" w:color="auto"/>
              <w:right w:val="single" w:sz="4" w:space="0" w:color="auto"/>
            </w:tcBorders>
            <w:shd w:val="clear" w:color="000000" w:fill="FFFFFF"/>
            <w:vAlign w:val="center"/>
            <w:hideMark/>
          </w:tcPr>
          <w:p w14:paraId="16E48A45" w14:textId="2E89C943"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D2446E">
              <w:rPr>
                <w:rFonts w:eastAsia="Times New Roman" w:cs="Arial"/>
                <w:sz w:val="18"/>
                <w:szCs w:val="18"/>
                <w:lang w:eastAsia="en-GB"/>
              </w:rPr>
              <w:t>3,433,875</w:t>
            </w:r>
          </w:p>
        </w:tc>
      </w:tr>
      <w:tr w:rsidR="00925D39" w:rsidRPr="00162F22" w14:paraId="18B0E799"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09D57371"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Footways</w:t>
            </w:r>
          </w:p>
        </w:tc>
        <w:tc>
          <w:tcPr>
            <w:tcW w:w="1531" w:type="dxa"/>
            <w:tcBorders>
              <w:top w:val="nil"/>
              <w:left w:val="nil"/>
              <w:bottom w:val="single" w:sz="4" w:space="0" w:color="auto"/>
              <w:right w:val="single" w:sz="4" w:space="0" w:color="auto"/>
            </w:tcBorders>
            <w:shd w:val="clear" w:color="000000" w:fill="FFFFFF"/>
            <w:vAlign w:val="center"/>
            <w:hideMark/>
          </w:tcPr>
          <w:p w14:paraId="5CBA65A1" w14:textId="38AD8E6A"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1,00</w:t>
            </w:r>
            <w:r w:rsidRPr="00162F22">
              <w:rPr>
                <w:rFonts w:eastAsia="Times New Roman" w:cs="Arial"/>
                <w:color w:val="000000"/>
                <w:sz w:val="18"/>
                <w:szCs w:val="18"/>
                <w:lang w:eastAsia="en-GB"/>
              </w:rPr>
              <w:t>0,000</w:t>
            </w:r>
          </w:p>
        </w:tc>
        <w:tc>
          <w:tcPr>
            <w:tcW w:w="1414" w:type="dxa"/>
            <w:tcBorders>
              <w:top w:val="nil"/>
              <w:left w:val="nil"/>
              <w:bottom w:val="single" w:sz="4" w:space="0" w:color="auto"/>
              <w:right w:val="single" w:sz="4" w:space="0" w:color="auto"/>
            </w:tcBorders>
            <w:shd w:val="clear" w:color="000000" w:fill="FFFFFF"/>
            <w:vAlign w:val="center"/>
            <w:hideMark/>
          </w:tcPr>
          <w:p w14:paraId="75D9B870" w14:textId="484D40ED"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£1,000,000</w:t>
            </w:r>
          </w:p>
        </w:tc>
        <w:tc>
          <w:tcPr>
            <w:tcW w:w="1701" w:type="dxa"/>
            <w:tcBorders>
              <w:top w:val="nil"/>
              <w:left w:val="nil"/>
              <w:bottom w:val="single" w:sz="4" w:space="0" w:color="auto"/>
              <w:right w:val="single" w:sz="4" w:space="0" w:color="auto"/>
            </w:tcBorders>
            <w:shd w:val="clear" w:color="000000" w:fill="FFFFFF"/>
            <w:vAlign w:val="center"/>
            <w:hideMark/>
          </w:tcPr>
          <w:p w14:paraId="3C85908E" w14:textId="19037B31"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0F56E2">
              <w:rPr>
                <w:rFonts w:eastAsia="Times New Roman" w:cs="Arial"/>
                <w:color w:val="000000"/>
                <w:sz w:val="18"/>
                <w:szCs w:val="18"/>
                <w:lang w:eastAsia="en-GB"/>
              </w:rPr>
              <w:t>2,000,000</w:t>
            </w:r>
          </w:p>
        </w:tc>
        <w:tc>
          <w:tcPr>
            <w:tcW w:w="1435" w:type="dxa"/>
            <w:tcBorders>
              <w:top w:val="nil"/>
              <w:left w:val="nil"/>
              <w:bottom w:val="single" w:sz="4" w:space="0" w:color="auto"/>
              <w:right w:val="single" w:sz="4" w:space="0" w:color="auto"/>
            </w:tcBorders>
            <w:shd w:val="clear" w:color="000000" w:fill="FFFFFF"/>
            <w:vAlign w:val="center"/>
            <w:hideMark/>
          </w:tcPr>
          <w:p w14:paraId="6B0778C4" w14:textId="3E2779AF"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D2446E">
              <w:rPr>
                <w:rFonts w:eastAsia="Times New Roman" w:cs="Arial"/>
                <w:sz w:val="18"/>
                <w:szCs w:val="18"/>
                <w:lang w:eastAsia="en-GB"/>
              </w:rPr>
              <w:t>965,700</w:t>
            </w:r>
          </w:p>
        </w:tc>
      </w:tr>
      <w:tr w:rsidR="00925D39" w:rsidRPr="00162F22" w14:paraId="550D50CF"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55B19DBD" w14:textId="686E708A"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 xml:space="preserve">Surveys &amp; Coring for Capital </w:t>
            </w:r>
            <w:r w:rsidR="005F0777">
              <w:rPr>
                <w:rFonts w:eastAsia="Times New Roman" w:cs="Arial"/>
                <w:color w:val="000000"/>
                <w:sz w:val="18"/>
                <w:szCs w:val="18"/>
                <w:lang w:eastAsia="en-GB"/>
              </w:rPr>
              <w:t>P</w:t>
            </w:r>
            <w:r w:rsidRPr="00162F22">
              <w:rPr>
                <w:rFonts w:eastAsia="Times New Roman" w:cs="Arial"/>
                <w:color w:val="000000"/>
                <w:sz w:val="18"/>
                <w:szCs w:val="18"/>
                <w:lang w:eastAsia="en-GB"/>
              </w:rPr>
              <w:t>rogramme</w:t>
            </w:r>
          </w:p>
        </w:tc>
        <w:tc>
          <w:tcPr>
            <w:tcW w:w="1531" w:type="dxa"/>
            <w:tcBorders>
              <w:top w:val="nil"/>
              <w:left w:val="nil"/>
              <w:bottom w:val="single" w:sz="4" w:space="0" w:color="auto"/>
              <w:right w:val="single" w:sz="4" w:space="0" w:color="auto"/>
            </w:tcBorders>
            <w:shd w:val="clear" w:color="000000" w:fill="FFFFFF"/>
            <w:vAlign w:val="center"/>
            <w:hideMark/>
          </w:tcPr>
          <w:p w14:paraId="19FD4E9A" w14:textId="69ED83D0"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£0</w:t>
            </w:r>
          </w:p>
        </w:tc>
        <w:tc>
          <w:tcPr>
            <w:tcW w:w="1414" w:type="dxa"/>
            <w:tcBorders>
              <w:top w:val="nil"/>
              <w:left w:val="nil"/>
              <w:bottom w:val="single" w:sz="4" w:space="0" w:color="auto"/>
              <w:right w:val="single" w:sz="4" w:space="0" w:color="auto"/>
            </w:tcBorders>
            <w:shd w:val="clear" w:color="000000" w:fill="FFFFFF"/>
            <w:vAlign w:val="center"/>
            <w:hideMark/>
          </w:tcPr>
          <w:p w14:paraId="25BD35D9" w14:textId="3599BDF3"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£75</w:t>
            </w:r>
            <w:r w:rsidR="000F56E2">
              <w:rPr>
                <w:rFonts w:eastAsia="Times New Roman" w:cs="Arial"/>
                <w:color w:val="000000"/>
                <w:sz w:val="18"/>
                <w:szCs w:val="18"/>
                <w:lang w:eastAsia="en-GB"/>
              </w:rPr>
              <w:t>0</w:t>
            </w:r>
            <w:r w:rsidRPr="00162F22">
              <w:rPr>
                <w:rFonts w:eastAsia="Times New Roman" w:cs="Arial"/>
                <w:color w:val="000000"/>
                <w:sz w:val="18"/>
                <w:szCs w:val="18"/>
                <w:lang w:eastAsia="en-GB"/>
              </w:rPr>
              <w:t>,000</w:t>
            </w:r>
          </w:p>
        </w:tc>
        <w:tc>
          <w:tcPr>
            <w:tcW w:w="1701" w:type="dxa"/>
            <w:tcBorders>
              <w:top w:val="nil"/>
              <w:left w:val="nil"/>
              <w:bottom w:val="single" w:sz="4" w:space="0" w:color="auto"/>
              <w:right w:val="single" w:sz="4" w:space="0" w:color="auto"/>
            </w:tcBorders>
            <w:shd w:val="clear" w:color="000000" w:fill="FFFFFF"/>
            <w:vAlign w:val="center"/>
            <w:hideMark/>
          </w:tcPr>
          <w:p w14:paraId="66C79FBE" w14:textId="6618E120"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£75</w:t>
            </w:r>
            <w:r w:rsidR="000F56E2">
              <w:rPr>
                <w:rFonts w:eastAsia="Times New Roman" w:cs="Arial"/>
                <w:color w:val="000000"/>
                <w:sz w:val="18"/>
                <w:szCs w:val="18"/>
                <w:lang w:eastAsia="en-GB"/>
              </w:rPr>
              <w:t>0</w:t>
            </w:r>
            <w:r w:rsidRPr="00162F22">
              <w:rPr>
                <w:rFonts w:eastAsia="Times New Roman" w:cs="Arial"/>
                <w:color w:val="000000"/>
                <w:sz w:val="18"/>
                <w:szCs w:val="18"/>
                <w:lang w:eastAsia="en-GB"/>
              </w:rPr>
              <w:t>,000</w:t>
            </w:r>
          </w:p>
        </w:tc>
        <w:tc>
          <w:tcPr>
            <w:tcW w:w="1435" w:type="dxa"/>
            <w:tcBorders>
              <w:top w:val="nil"/>
              <w:left w:val="nil"/>
              <w:bottom w:val="single" w:sz="4" w:space="0" w:color="auto"/>
              <w:right w:val="single" w:sz="4" w:space="0" w:color="auto"/>
            </w:tcBorders>
            <w:shd w:val="clear" w:color="000000" w:fill="FFFFFF"/>
            <w:vAlign w:val="center"/>
            <w:hideMark/>
          </w:tcPr>
          <w:p w14:paraId="13483B08" w14:textId="447F515E"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£7</w:t>
            </w:r>
            <w:r w:rsidR="000F56E2">
              <w:rPr>
                <w:rFonts w:eastAsia="Times New Roman" w:cs="Arial"/>
                <w:sz w:val="18"/>
                <w:szCs w:val="18"/>
                <w:lang w:eastAsia="en-GB"/>
              </w:rPr>
              <w:t>24</w:t>
            </w:r>
            <w:r w:rsidRPr="00162F22">
              <w:rPr>
                <w:rFonts w:eastAsia="Times New Roman" w:cs="Arial"/>
                <w:sz w:val="18"/>
                <w:szCs w:val="18"/>
                <w:lang w:eastAsia="en-GB"/>
              </w:rPr>
              <w:t>,</w:t>
            </w:r>
            <w:r w:rsidR="000F56E2">
              <w:rPr>
                <w:rFonts w:eastAsia="Times New Roman" w:cs="Arial"/>
                <w:sz w:val="18"/>
                <w:szCs w:val="18"/>
                <w:lang w:eastAsia="en-GB"/>
              </w:rPr>
              <w:t>275</w:t>
            </w:r>
          </w:p>
        </w:tc>
      </w:tr>
      <w:tr w:rsidR="00925D39" w:rsidRPr="00162F22" w14:paraId="6F783564"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7AE20A29"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Street Lighting</w:t>
            </w:r>
          </w:p>
        </w:tc>
        <w:tc>
          <w:tcPr>
            <w:tcW w:w="1531" w:type="dxa"/>
            <w:tcBorders>
              <w:top w:val="nil"/>
              <w:left w:val="nil"/>
              <w:bottom w:val="single" w:sz="4" w:space="0" w:color="auto"/>
              <w:right w:val="single" w:sz="4" w:space="0" w:color="auto"/>
            </w:tcBorders>
            <w:shd w:val="clear" w:color="000000" w:fill="FFFFFF"/>
            <w:vAlign w:val="center"/>
            <w:hideMark/>
          </w:tcPr>
          <w:p w14:paraId="4CACB57D" w14:textId="4102E2D6"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2</w:t>
            </w:r>
            <w:r w:rsidRPr="00162F22">
              <w:rPr>
                <w:rFonts w:eastAsia="Times New Roman" w:cs="Arial"/>
                <w:color w:val="000000"/>
                <w:sz w:val="18"/>
                <w:szCs w:val="18"/>
                <w:lang w:eastAsia="en-GB"/>
              </w:rPr>
              <w:t>,000,000</w:t>
            </w:r>
          </w:p>
        </w:tc>
        <w:tc>
          <w:tcPr>
            <w:tcW w:w="1414" w:type="dxa"/>
            <w:tcBorders>
              <w:top w:val="nil"/>
              <w:left w:val="nil"/>
              <w:bottom w:val="single" w:sz="4" w:space="0" w:color="auto"/>
              <w:right w:val="single" w:sz="4" w:space="0" w:color="auto"/>
            </w:tcBorders>
            <w:shd w:val="clear" w:color="000000" w:fill="FFFFFF"/>
            <w:vAlign w:val="center"/>
            <w:hideMark/>
          </w:tcPr>
          <w:p w14:paraId="18BB5A26" w14:textId="275BB603"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£1,000,000</w:t>
            </w:r>
          </w:p>
        </w:tc>
        <w:tc>
          <w:tcPr>
            <w:tcW w:w="1701" w:type="dxa"/>
            <w:tcBorders>
              <w:top w:val="nil"/>
              <w:left w:val="nil"/>
              <w:bottom w:val="single" w:sz="4" w:space="0" w:color="auto"/>
              <w:right w:val="single" w:sz="4" w:space="0" w:color="auto"/>
            </w:tcBorders>
            <w:shd w:val="clear" w:color="000000" w:fill="FFFFFF"/>
            <w:vAlign w:val="center"/>
            <w:hideMark/>
          </w:tcPr>
          <w:p w14:paraId="667E2032" w14:textId="21A8652A"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£1,000,000</w:t>
            </w:r>
          </w:p>
        </w:tc>
        <w:tc>
          <w:tcPr>
            <w:tcW w:w="1435" w:type="dxa"/>
            <w:tcBorders>
              <w:top w:val="nil"/>
              <w:left w:val="nil"/>
              <w:bottom w:val="single" w:sz="4" w:space="0" w:color="auto"/>
              <w:right w:val="single" w:sz="4" w:space="0" w:color="auto"/>
            </w:tcBorders>
            <w:shd w:val="clear" w:color="000000" w:fill="FFFFFF"/>
            <w:vAlign w:val="center"/>
            <w:hideMark/>
          </w:tcPr>
          <w:p w14:paraId="0FA60771" w14:textId="632266E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0F56E2">
              <w:rPr>
                <w:rFonts w:eastAsia="Times New Roman" w:cs="Arial"/>
                <w:sz w:val="18"/>
                <w:szCs w:val="18"/>
                <w:lang w:eastAsia="en-GB"/>
              </w:rPr>
              <w:t>965,700</w:t>
            </w:r>
          </w:p>
        </w:tc>
      </w:tr>
      <w:tr w:rsidR="00925D39" w:rsidRPr="00162F22" w14:paraId="74202237"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71A53822"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Bridges &amp; Structures</w:t>
            </w:r>
          </w:p>
        </w:tc>
        <w:tc>
          <w:tcPr>
            <w:tcW w:w="1531" w:type="dxa"/>
            <w:tcBorders>
              <w:top w:val="nil"/>
              <w:left w:val="nil"/>
              <w:bottom w:val="single" w:sz="4" w:space="0" w:color="auto"/>
              <w:right w:val="single" w:sz="4" w:space="0" w:color="auto"/>
            </w:tcBorders>
            <w:shd w:val="clear" w:color="000000" w:fill="FFFFFF"/>
            <w:vAlign w:val="center"/>
            <w:hideMark/>
          </w:tcPr>
          <w:p w14:paraId="6A676576" w14:textId="4265B9DA"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3</w:t>
            </w:r>
            <w:r w:rsidRPr="00162F22">
              <w:rPr>
                <w:rFonts w:eastAsia="Times New Roman" w:cs="Arial"/>
                <w:color w:val="000000"/>
                <w:sz w:val="18"/>
                <w:szCs w:val="18"/>
                <w:lang w:eastAsia="en-GB"/>
              </w:rPr>
              <w:t>,</w:t>
            </w:r>
            <w:r w:rsidR="00D2446E">
              <w:rPr>
                <w:rFonts w:eastAsia="Times New Roman" w:cs="Arial"/>
                <w:color w:val="000000"/>
                <w:sz w:val="18"/>
                <w:szCs w:val="18"/>
                <w:lang w:eastAsia="en-GB"/>
              </w:rPr>
              <w:t>0</w:t>
            </w:r>
            <w:r w:rsidRPr="00162F22">
              <w:rPr>
                <w:rFonts w:eastAsia="Times New Roman" w:cs="Arial"/>
                <w:color w:val="000000"/>
                <w:sz w:val="18"/>
                <w:szCs w:val="18"/>
                <w:lang w:eastAsia="en-GB"/>
              </w:rPr>
              <w:t>00,000</w:t>
            </w:r>
          </w:p>
        </w:tc>
        <w:tc>
          <w:tcPr>
            <w:tcW w:w="1414" w:type="dxa"/>
            <w:tcBorders>
              <w:top w:val="nil"/>
              <w:left w:val="nil"/>
              <w:bottom w:val="single" w:sz="4" w:space="0" w:color="auto"/>
              <w:right w:val="single" w:sz="4" w:space="0" w:color="auto"/>
            </w:tcBorders>
            <w:shd w:val="clear" w:color="000000" w:fill="FFFFFF"/>
            <w:vAlign w:val="center"/>
            <w:hideMark/>
          </w:tcPr>
          <w:p w14:paraId="1BAC5C7A" w14:textId="2F495C83"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3,50</w:t>
            </w:r>
            <w:r w:rsidRPr="00162F22">
              <w:rPr>
                <w:rFonts w:eastAsia="Times New Roman" w:cs="Arial"/>
                <w:color w:val="000000"/>
                <w:sz w:val="18"/>
                <w:szCs w:val="18"/>
                <w:lang w:eastAsia="en-GB"/>
              </w:rPr>
              <w:t>0,000</w:t>
            </w:r>
          </w:p>
        </w:tc>
        <w:tc>
          <w:tcPr>
            <w:tcW w:w="1701" w:type="dxa"/>
            <w:tcBorders>
              <w:top w:val="nil"/>
              <w:left w:val="nil"/>
              <w:bottom w:val="single" w:sz="4" w:space="0" w:color="auto"/>
              <w:right w:val="single" w:sz="4" w:space="0" w:color="auto"/>
            </w:tcBorders>
            <w:shd w:val="clear" w:color="auto" w:fill="auto"/>
            <w:noWrap/>
            <w:vAlign w:val="center"/>
            <w:hideMark/>
          </w:tcPr>
          <w:p w14:paraId="3E646A6B" w14:textId="28AD08FD" w:rsidR="00162F22" w:rsidRPr="00162F22" w:rsidRDefault="000F56E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3,50</w:t>
            </w:r>
            <w:r w:rsidRPr="00162F22">
              <w:rPr>
                <w:rFonts w:eastAsia="Times New Roman" w:cs="Arial"/>
                <w:color w:val="000000"/>
                <w:sz w:val="18"/>
                <w:szCs w:val="18"/>
                <w:lang w:eastAsia="en-GB"/>
              </w:rPr>
              <w:t>0,000</w:t>
            </w:r>
          </w:p>
        </w:tc>
        <w:tc>
          <w:tcPr>
            <w:tcW w:w="1435" w:type="dxa"/>
            <w:tcBorders>
              <w:top w:val="nil"/>
              <w:left w:val="nil"/>
              <w:bottom w:val="single" w:sz="4" w:space="0" w:color="auto"/>
              <w:right w:val="single" w:sz="4" w:space="0" w:color="auto"/>
            </w:tcBorders>
            <w:shd w:val="clear" w:color="000000" w:fill="FFFFFF"/>
            <w:vAlign w:val="center"/>
            <w:hideMark/>
          </w:tcPr>
          <w:p w14:paraId="2D536A42" w14:textId="54726BB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£3,</w:t>
            </w:r>
            <w:r w:rsidR="000F56E2">
              <w:rPr>
                <w:rFonts w:eastAsia="Times New Roman" w:cs="Arial"/>
                <w:sz w:val="18"/>
                <w:szCs w:val="18"/>
                <w:lang w:eastAsia="en-GB"/>
              </w:rPr>
              <w:t>379,950</w:t>
            </w:r>
          </w:p>
        </w:tc>
      </w:tr>
      <w:tr w:rsidR="00925D39" w:rsidRPr="00162F22" w14:paraId="08046E05"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0FCD99AF"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Drainage</w:t>
            </w:r>
          </w:p>
        </w:tc>
        <w:tc>
          <w:tcPr>
            <w:tcW w:w="1531" w:type="dxa"/>
            <w:tcBorders>
              <w:top w:val="nil"/>
              <w:left w:val="nil"/>
              <w:bottom w:val="single" w:sz="4" w:space="0" w:color="auto"/>
              <w:right w:val="single" w:sz="4" w:space="0" w:color="auto"/>
            </w:tcBorders>
            <w:shd w:val="clear" w:color="000000" w:fill="FFFFFF"/>
            <w:vAlign w:val="center"/>
            <w:hideMark/>
          </w:tcPr>
          <w:p w14:paraId="5D8D923C" w14:textId="289739ED"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2,000</w:t>
            </w:r>
            <w:r w:rsidRPr="00162F22">
              <w:rPr>
                <w:rFonts w:eastAsia="Times New Roman" w:cs="Arial"/>
                <w:color w:val="000000"/>
                <w:sz w:val="18"/>
                <w:szCs w:val="18"/>
                <w:lang w:eastAsia="en-GB"/>
              </w:rPr>
              <w:t>,000</w:t>
            </w:r>
          </w:p>
        </w:tc>
        <w:tc>
          <w:tcPr>
            <w:tcW w:w="1414" w:type="dxa"/>
            <w:tcBorders>
              <w:top w:val="nil"/>
              <w:left w:val="nil"/>
              <w:bottom w:val="single" w:sz="4" w:space="0" w:color="auto"/>
              <w:right w:val="single" w:sz="4" w:space="0" w:color="auto"/>
            </w:tcBorders>
            <w:shd w:val="clear" w:color="000000" w:fill="FFFFFF"/>
            <w:vAlign w:val="center"/>
            <w:hideMark/>
          </w:tcPr>
          <w:p w14:paraId="1B2FE276" w14:textId="3E7A09C8"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500</w:t>
            </w:r>
            <w:r w:rsidRPr="00162F22">
              <w:rPr>
                <w:rFonts w:eastAsia="Times New Roman" w:cs="Arial"/>
                <w:color w:val="000000"/>
                <w:sz w:val="18"/>
                <w:szCs w:val="18"/>
                <w:lang w:eastAsia="en-GB"/>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0F9A78" w14:textId="7BA6CD11"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£1,000,000</w:t>
            </w:r>
          </w:p>
        </w:tc>
        <w:tc>
          <w:tcPr>
            <w:tcW w:w="1435" w:type="dxa"/>
            <w:tcBorders>
              <w:top w:val="nil"/>
              <w:left w:val="nil"/>
              <w:bottom w:val="single" w:sz="4" w:space="0" w:color="auto"/>
              <w:right w:val="single" w:sz="4" w:space="0" w:color="auto"/>
            </w:tcBorders>
            <w:shd w:val="clear" w:color="000000" w:fill="FFFFFF"/>
            <w:vAlign w:val="center"/>
            <w:hideMark/>
          </w:tcPr>
          <w:p w14:paraId="4CA599A7" w14:textId="6B537C4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0F56E2">
              <w:rPr>
                <w:rFonts w:eastAsia="Times New Roman" w:cs="Arial"/>
                <w:sz w:val="18"/>
                <w:szCs w:val="18"/>
                <w:lang w:eastAsia="en-GB"/>
              </w:rPr>
              <w:t>482,850</w:t>
            </w:r>
          </w:p>
        </w:tc>
      </w:tr>
      <w:tr w:rsidR="000F56E2" w:rsidRPr="00162F22" w14:paraId="28BC9B9B" w14:textId="77777777" w:rsidTr="00D27640">
        <w:trPr>
          <w:trHeight w:val="283"/>
        </w:trPr>
        <w:tc>
          <w:tcPr>
            <w:tcW w:w="3742" w:type="dxa"/>
            <w:tcBorders>
              <w:top w:val="single" w:sz="4" w:space="0" w:color="auto"/>
              <w:left w:val="single" w:sz="8" w:space="0" w:color="auto"/>
              <w:bottom w:val="single" w:sz="4" w:space="0" w:color="auto"/>
              <w:right w:val="single" w:sz="4" w:space="0" w:color="auto"/>
            </w:tcBorders>
            <w:shd w:val="clear" w:color="000000" w:fill="FFFFFF"/>
            <w:vAlign w:val="center"/>
          </w:tcPr>
          <w:p w14:paraId="08728C4F" w14:textId="2688FCA9" w:rsidR="000F56E2" w:rsidRPr="005F0777" w:rsidRDefault="000F56E2" w:rsidP="00D27640">
            <w:pPr>
              <w:spacing w:after="0" w:line="240" w:lineRule="auto"/>
              <w:jc w:val="center"/>
              <w:rPr>
                <w:rFonts w:eastAsia="Times New Roman" w:cs="Arial"/>
                <w:color w:val="000000"/>
                <w:sz w:val="18"/>
                <w:szCs w:val="18"/>
                <w:lang w:eastAsia="en-GB"/>
              </w:rPr>
            </w:pPr>
            <w:r w:rsidRPr="005F0777">
              <w:rPr>
                <w:rFonts w:eastAsia="Times New Roman" w:cs="Arial"/>
                <w:color w:val="000000"/>
                <w:sz w:val="18"/>
                <w:szCs w:val="18"/>
                <w:lang w:eastAsia="en-GB"/>
              </w:rPr>
              <w:t>Retaining Walls</w:t>
            </w:r>
          </w:p>
        </w:tc>
        <w:tc>
          <w:tcPr>
            <w:tcW w:w="1531" w:type="dxa"/>
            <w:tcBorders>
              <w:top w:val="single" w:sz="4" w:space="0" w:color="auto"/>
              <w:left w:val="nil"/>
              <w:bottom w:val="single" w:sz="4" w:space="0" w:color="auto"/>
              <w:right w:val="single" w:sz="4" w:space="0" w:color="auto"/>
            </w:tcBorders>
            <w:shd w:val="clear" w:color="000000" w:fill="FFFFFF"/>
            <w:noWrap/>
            <w:vAlign w:val="center"/>
          </w:tcPr>
          <w:p w14:paraId="2D7D673A" w14:textId="15E81120" w:rsidR="000F56E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£500,00</w:t>
            </w:r>
            <w:r w:rsidR="00756A99">
              <w:rPr>
                <w:rFonts w:eastAsia="Times New Roman" w:cs="Arial"/>
                <w:color w:val="000000"/>
                <w:sz w:val="18"/>
                <w:szCs w:val="18"/>
                <w:lang w:eastAsia="en-GB"/>
              </w:rPr>
              <w:t>0</w:t>
            </w:r>
          </w:p>
        </w:tc>
        <w:tc>
          <w:tcPr>
            <w:tcW w:w="1414" w:type="dxa"/>
            <w:tcBorders>
              <w:top w:val="single" w:sz="4" w:space="0" w:color="auto"/>
              <w:left w:val="nil"/>
              <w:bottom w:val="single" w:sz="4" w:space="0" w:color="auto"/>
              <w:right w:val="single" w:sz="4" w:space="0" w:color="auto"/>
            </w:tcBorders>
            <w:shd w:val="clear" w:color="000000" w:fill="FFFFFF"/>
            <w:noWrap/>
            <w:vAlign w:val="center"/>
          </w:tcPr>
          <w:p w14:paraId="3EEDDC36" w14:textId="6C1B7485" w:rsidR="000F56E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625C9AD" w14:textId="5080FEB5" w:rsidR="000F56E2" w:rsidRPr="00162F22" w:rsidRDefault="000F56E2" w:rsidP="00D27640">
            <w:pPr>
              <w:spacing w:after="0" w:line="240" w:lineRule="auto"/>
              <w:jc w:val="center"/>
              <w:rPr>
                <w:rFonts w:eastAsia="Times New Roman" w:cs="Arial"/>
                <w:color w:val="000000"/>
                <w:sz w:val="18"/>
                <w:szCs w:val="18"/>
                <w:lang w:eastAsia="en-GB"/>
              </w:rPr>
            </w:pPr>
            <w:r w:rsidRPr="00E47013">
              <w:rPr>
                <w:rFonts w:eastAsia="Times New Roman" w:cs="Arial"/>
                <w:color w:val="000000"/>
                <w:sz w:val="18"/>
                <w:szCs w:val="18"/>
                <w:lang w:eastAsia="en-GB"/>
              </w:rPr>
              <w:t>£0</w:t>
            </w:r>
          </w:p>
        </w:tc>
        <w:tc>
          <w:tcPr>
            <w:tcW w:w="1435" w:type="dxa"/>
            <w:tcBorders>
              <w:top w:val="single" w:sz="4" w:space="0" w:color="auto"/>
              <w:left w:val="nil"/>
              <w:bottom w:val="single" w:sz="4" w:space="0" w:color="auto"/>
              <w:right w:val="single" w:sz="4" w:space="0" w:color="auto"/>
            </w:tcBorders>
            <w:shd w:val="clear" w:color="000000" w:fill="FFFFFF"/>
            <w:vAlign w:val="center"/>
          </w:tcPr>
          <w:p w14:paraId="32B6C552" w14:textId="7FB85372" w:rsidR="000F56E2" w:rsidRPr="00D2446E" w:rsidRDefault="000F56E2" w:rsidP="00D27640">
            <w:pPr>
              <w:spacing w:after="0" w:line="240" w:lineRule="auto"/>
              <w:jc w:val="center"/>
              <w:rPr>
                <w:rFonts w:eastAsia="Times New Roman" w:cs="Arial"/>
                <w:sz w:val="18"/>
                <w:szCs w:val="18"/>
                <w:lang w:eastAsia="en-GB"/>
              </w:rPr>
            </w:pPr>
            <w:r w:rsidRPr="00E47013">
              <w:rPr>
                <w:rFonts w:eastAsia="Times New Roman" w:cs="Arial"/>
                <w:color w:val="000000"/>
                <w:sz w:val="18"/>
                <w:szCs w:val="18"/>
                <w:lang w:eastAsia="en-GB"/>
              </w:rPr>
              <w:t>£0</w:t>
            </w:r>
          </w:p>
        </w:tc>
      </w:tr>
      <w:tr w:rsidR="00925D39" w:rsidRPr="00162F22" w14:paraId="242B1280" w14:textId="77777777" w:rsidTr="00D27640">
        <w:trPr>
          <w:trHeight w:val="283"/>
        </w:trPr>
        <w:tc>
          <w:tcPr>
            <w:tcW w:w="3742" w:type="dxa"/>
            <w:tcBorders>
              <w:top w:val="single" w:sz="4" w:space="0" w:color="auto"/>
              <w:left w:val="single" w:sz="8" w:space="0" w:color="auto"/>
              <w:bottom w:val="nil"/>
              <w:right w:val="single" w:sz="4" w:space="0" w:color="auto"/>
            </w:tcBorders>
            <w:shd w:val="clear" w:color="000000" w:fill="FFFFFF"/>
            <w:vAlign w:val="center"/>
            <w:hideMark/>
          </w:tcPr>
          <w:p w14:paraId="2CFD5AD5" w14:textId="2F189DD5"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 xml:space="preserve">Future </w:t>
            </w:r>
            <w:r w:rsidR="005F0777">
              <w:rPr>
                <w:rFonts w:eastAsia="Times New Roman" w:cs="Arial"/>
                <w:color w:val="000000"/>
                <w:sz w:val="18"/>
                <w:szCs w:val="18"/>
                <w:lang w:eastAsia="en-GB"/>
              </w:rPr>
              <w:t>D</w:t>
            </w:r>
            <w:r w:rsidRPr="00162F22">
              <w:rPr>
                <w:rFonts w:eastAsia="Times New Roman" w:cs="Arial"/>
                <w:color w:val="000000"/>
                <w:sz w:val="18"/>
                <w:szCs w:val="18"/>
                <w:lang w:eastAsia="en-GB"/>
              </w:rPr>
              <w:t>esign</w:t>
            </w:r>
            <w:r w:rsidR="005F0777">
              <w:rPr>
                <w:rFonts w:eastAsia="Times New Roman" w:cs="Arial"/>
                <w:color w:val="000000"/>
                <w:sz w:val="18"/>
                <w:szCs w:val="18"/>
                <w:lang w:eastAsia="en-GB"/>
              </w:rPr>
              <w:t xml:space="preserve"> /</w:t>
            </w:r>
            <w:r w:rsidRPr="00162F22">
              <w:rPr>
                <w:rFonts w:eastAsia="Times New Roman" w:cs="Arial"/>
                <w:color w:val="000000"/>
                <w:sz w:val="18"/>
                <w:szCs w:val="18"/>
                <w:lang w:eastAsia="en-GB"/>
              </w:rPr>
              <w:t xml:space="preserve"> </w:t>
            </w:r>
            <w:r w:rsidR="005F0777">
              <w:rPr>
                <w:rFonts w:eastAsia="Times New Roman" w:cs="Arial"/>
                <w:color w:val="000000"/>
                <w:sz w:val="18"/>
                <w:szCs w:val="18"/>
                <w:lang w:eastAsia="en-GB"/>
              </w:rPr>
              <w:t>S</w:t>
            </w:r>
            <w:r w:rsidRPr="00162F22">
              <w:rPr>
                <w:rFonts w:eastAsia="Times New Roman" w:cs="Arial"/>
                <w:color w:val="000000"/>
                <w:sz w:val="18"/>
                <w:szCs w:val="18"/>
                <w:lang w:eastAsia="en-GB"/>
              </w:rPr>
              <w:t xml:space="preserve">ite </w:t>
            </w:r>
            <w:r w:rsidR="005F0777">
              <w:rPr>
                <w:rFonts w:eastAsia="Times New Roman" w:cs="Arial"/>
                <w:color w:val="000000"/>
                <w:sz w:val="18"/>
                <w:szCs w:val="18"/>
                <w:lang w:eastAsia="en-GB"/>
              </w:rPr>
              <w:t>I</w:t>
            </w:r>
            <w:r w:rsidRPr="00162F22">
              <w:rPr>
                <w:rFonts w:eastAsia="Times New Roman" w:cs="Arial"/>
                <w:color w:val="000000"/>
                <w:sz w:val="18"/>
                <w:szCs w:val="18"/>
                <w:lang w:eastAsia="en-GB"/>
              </w:rPr>
              <w:t>nvestigations</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14:paraId="0E926CE2" w14:textId="57E6A338"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14:paraId="2267C2DD" w14:textId="6E112CF7"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£300,000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1AB6AEF" w14:textId="5A369705"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0F56E2">
              <w:rPr>
                <w:rFonts w:eastAsia="Times New Roman" w:cs="Arial"/>
                <w:color w:val="000000"/>
                <w:sz w:val="18"/>
                <w:szCs w:val="18"/>
                <w:lang w:eastAsia="en-GB"/>
              </w:rPr>
              <w:t>300,000</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283213B7" w14:textId="697B5013"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£2</w:t>
            </w:r>
            <w:r w:rsidR="000F56E2">
              <w:rPr>
                <w:rFonts w:eastAsia="Times New Roman" w:cs="Arial"/>
                <w:sz w:val="18"/>
                <w:szCs w:val="18"/>
                <w:lang w:eastAsia="en-GB"/>
              </w:rPr>
              <w:t>8</w:t>
            </w:r>
            <w:r w:rsidRPr="00162F22">
              <w:rPr>
                <w:rFonts w:eastAsia="Times New Roman" w:cs="Arial"/>
                <w:sz w:val="18"/>
                <w:szCs w:val="18"/>
                <w:lang w:eastAsia="en-GB"/>
              </w:rPr>
              <w:t>9,</w:t>
            </w:r>
            <w:r w:rsidR="000F56E2">
              <w:rPr>
                <w:rFonts w:eastAsia="Times New Roman" w:cs="Arial"/>
                <w:sz w:val="18"/>
                <w:szCs w:val="18"/>
                <w:lang w:eastAsia="en-GB"/>
              </w:rPr>
              <w:t>710</w:t>
            </w:r>
          </w:p>
        </w:tc>
      </w:tr>
      <w:tr w:rsidR="00925D39" w:rsidRPr="00162F22" w14:paraId="60149A3C" w14:textId="77777777" w:rsidTr="00D27640">
        <w:trPr>
          <w:trHeight w:val="283"/>
        </w:trPr>
        <w:tc>
          <w:tcPr>
            <w:tcW w:w="374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37179C4"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Structural Defects</w:t>
            </w:r>
          </w:p>
        </w:tc>
        <w:tc>
          <w:tcPr>
            <w:tcW w:w="1531" w:type="dxa"/>
            <w:tcBorders>
              <w:top w:val="nil"/>
              <w:left w:val="nil"/>
              <w:bottom w:val="single" w:sz="4" w:space="0" w:color="auto"/>
              <w:right w:val="single" w:sz="4" w:space="0" w:color="auto"/>
            </w:tcBorders>
            <w:shd w:val="clear" w:color="000000" w:fill="FFFFFF"/>
            <w:vAlign w:val="center"/>
            <w:hideMark/>
          </w:tcPr>
          <w:p w14:paraId="53590FB2" w14:textId="08CFE8F6"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1,5</w:t>
            </w:r>
            <w:r w:rsidRPr="00162F22">
              <w:rPr>
                <w:rFonts w:eastAsia="Times New Roman" w:cs="Arial"/>
                <w:color w:val="000000"/>
                <w:sz w:val="18"/>
                <w:szCs w:val="18"/>
                <w:lang w:eastAsia="en-GB"/>
              </w:rPr>
              <w:t>00,000</w:t>
            </w:r>
          </w:p>
        </w:tc>
        <w:tc>
          <w:tcPr>
            <w:tcW w:w="1414" w:type="dxa"/>
            <w:tcBorders>
              <w:top w:val="nil"/>
              <w:left w:val="nil"/>
              <w:bottom w:val="single" w:sz="4" w:space="0" w:color="auto"/>
              <w:right w:val="single" w:sz="4" w:space="0" w:color="auto"/>
            </w:tcBorders>
            <w:shd w:val="clear" w:color="000000" w:fill="FFFFFF"/>
            <w:vAlign w:val="center"/>
            <w:hideMark/>
          </w:tcPr>
          <w:p w14:paraId="1ABC020C" w14:textId="40DBDF5A"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£2,000,000</w:t>
            </w:r>
          </w:p>
        </w:tc>
        <w:tc>
          <w:tcPr>
            <w:tcW w:w="1701" w:type="dxa"/>
            <w:tcBorders>
              <w:top w:val="nil"/>
              <w:left w:val="nil"/>
              <w:bottom w:val="single" w:sz="4" w:space="0" w:color="auto"/>
              <w:right w:val="single" w:sz="4" w:space="0" w:color="auto"/>
            </w:tcBorders>
            <w:shd w:val="clear" w:color="000000" w:fill="FFFFFF"/>
            <w:vAlign w:val="center"/>
            <w:hideMark/>
          </w:tcPr>
          <w:p w14:paraId="39A74CCB" w14:textId="7F8434F0" w:rsidR="00162F22" w:rsidRPr="00162F22" w:rsidRDefault="000F56E2"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£2,000,000</w:t>
            </w:r>
          </w:p>
        </w:tc>
        <w:tc>
          <w:tcPr>
            <w:tcW w:w="1435" w:type="dxa"/>
            <w:tcBorders>
              <w:top w:val="nil"/>
              <w:left w:val="nil"/>
              <w:bottom w:val="single" w:sz="4" w:space="0" w:color="auto"/>
              <w:right w:val="single" w:sz="4" w:space="0" w:color="auto"/>
            </w:tcBorders>
            <w:shd w:val="clear" w:color="000000" w:fill="FFFFFF"/>
            <w:vAlign w:val="center"/>
            <w:hideMark/>
          </w:tcPr>
          <w:p w14:paraId="6239D7B1" w14:textId="118FD377"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0F56E2">
              <w:rPr>
                <w:rFonts w:eastAsia="Times New Roman" w:cs="Arial"/>
                <w:sz w:val="18"/>
                <w:szCs w:val="18"/>
                <w:lang w:eastAsia="en-GB"/>
              </w:rPr>
              <w:t>1</w:t>
            </w:r>
            <w:r w:rsidRPr="00162F22">
              <w:rPr>
                <w:rFonts w:eastAsia="Times New Roman" w:cs="Arial"/>
                <w:sz w:val="18"/>
                <w:szCs w:val="18"/>
                <w:lang w:eastAsia="en-GB"/>
              </w:rPr>
              <w:t>,</w:t>
            </w:r>
            <w:r w:rsidR="000F56E2">
              <w:rPr>
                <w:rFonts w:eastAsia="Times New Roman" w:cs="Arial"/>
                <w:sz w:val="18"/>
                <w:szCs w:val="18"/>
                <w:lang w:eastAsia="en-GB"/>
              </w:rPr>
              <w:t>931</w:t>
            </w:r>
            <w:r w:rsidRPr="00162F22">
              <w:rPr>
                <w:rFonts w:eastAsia="Times New Roman" w:cs="Arial"/>
                <w:sz w:val="18"/>
                <w:szCs w:val="18"/>
                <w:lang w:eastAsia="en-GB"/>
              </w:rPr>
              <w:t>,</w:t>
            </w:r>
            <w:r w:rsidR="000F56E2">
              <w:rPr>
                <w:rFonts w:eastAsia="Times New Roman" w:cs="Arial"/>
                <w:sz w:val="18"/>
                <w:szCs w:val="18"/>
                <w:lang w:eastAsia="en-GB"/>
              </w:rPr>
              <w:t>4</w:t>
            </w:r>
            <w:r w:rsidRPr="00162F22">
              <w:rPr>
                <w:rFonts w:eastAsia="Times New Roman" w:cs="Arial"/>
                <w:sz w:val="18"/>
                <w:szCs w:val="18"/>
                <w:lang w:eastAsia="en-GB"/>
              </w:rPr>
              <w:t>00</w:t>
            </w:r>
          </w:p>
        </w:tc>
      </w:tr>
      <w:tr w:rsidR="00925D39" w:rsidRPr="00162F22" w14:paraId="6237CEDC" w14:textId="77777777" w:rsidTr="00D27640">
        <w:trPr>
          <w:trHeight w:val="283"/>
        </w:trPr>
        <w:tc>
          <w:tcPr>
            <w:tcW w:w="3742" w:type="dxa"/>
            <w:tcBorders>
              <w:top w:val="nil"/>
              <w:left w:val="single" w:sz="8" w:space="0" w:color="auto"/>
              <w:bottom w:val="single" w:sz="4" w:space="0" w:color="auto"/>
              <w:right w:val="single" w:sz="4" w:space="0" w:color="auto"/>
            </w:tcBorders>
            <w:shd w:val="clear" w:color="000000" w:fill="FFFFFF"/>
            <w:vAlign w:val="center"/>
            <w:hideMark/>
          </w:tcPr>
          <w:p w14:paraId="116DD015" w14:textId="77777777"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Traffic Signals</w:t>
            </w:r>
          </w:p>
        </w:tc>
        <w:tc>
          <w:tcPr>
            <w:tcW w:w="1531" w:type="dxa"/>
            <w:tcBorders>
              <w:top w:val="nil"/>
              <w:left w:val="nil"/>
              <w:bottom w:val="single" w:sz="4" w:space="0" w:color="auto"/>
              <w:right w:val="single" w:sz="4" w:space="0" w:color="auto"/>
            </w:tcBorders>
            <w:shd w:val="clear" w:color="000000" w:fill="FFFFFF"/>
            <w:vAlign w:val="center"/>
            <w:hideMark/>
          </w:tcPr>
          <w:p w14:paraId="3CD478C4" w14:textId="5A279BB9"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3</w:t>
            </w:r>
            <w:r w:rsidRPr="00162F22">
              <w:rPr>
                <w:rFonts w:eastAsia="Times New Roman" w:cs="Arial"/>
                <w:color w:val="000000"/>
                <w:sz w:val="18"/>
                <w:szCs w:val="18"/>
                <w:lang w:eastAsia="en-GB"/>
              </w:rPr>
              <w:t>00,000</w:t>
            </w:r>
          </w:p>
        </w:tc>
        <w:tc>
          <w:tcPr>
            <w:tcW w:w="1414" w:type="dxa"/>
            <w:tcBorders>
              <w:top w:val="nil"/>
              <w:left w:val="nil"/>
              <w:bottom w:val="single" w:sz="4" w:space="0" w:color="auto"/>
              <w:right w:val="single" w:sz="4" w:space="0" w:color="auto"/>
            </w:tcBorders>
            <w:shd w:val="clear" w:color="000000" w:fill="FFFFFF"/>
            <w:vAlign w:val="center"/>
            <w:hideMark/>
          </w:tcPr>
          <w:p w14:paraId="3E29C774" w14:textId="35DFD5AF" w:rsidR="00162F22" w:rsidRPr="00162F22" w:rsidRDefault="00D2446E" w:rsidP="00D27640">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£1,225,000</w:t>
            </w:r>
          </w:p>
        </w:tc>
        <w:tc>
          <w:tcPr>
            <w:tcW w:w="1701" w:type="dxa"/>
            <w:tcBorders>
              <w:top w:val="nil"/>
              <w:left w:val="nil"/>
              <w:bottom w:val="single" w:sz="4" w:space="0" w:color="auto"/>
              <w:right w:val="single" w:sz="4" w:space="0" w:color="auto"/>
            </w:tcBorders>
            <w:shd w:val="clear" w:color="000000" w:fill="FFFFFF"/>
            <w:vAlign w:val="center"/>
            <w:hideMark/>
          </w:tcPr>
          <w:p w14:paraId="63D57538" w14:textId="25BE7C69"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£2</w:t>
            </w:r>
            <w:r w:rsidR="000F56E2">
              <w:rPr>
                <w:rFonts w:eastAsia="Times New Roman" w:cs="Arial"/>
                <w:color w:val="000000"/>
                <w:sz w:val="18"/>
                <w:szCs w:val="18"/>
                <w:lang w:eastAsia="en-GB"/>
              </w:rPr>
              <w:t>,40</w:t>
            </w:r>
            <w:r w:rsidRPr="00162F22">
              <w:rPr>
                <w:rFonts w:eastAsia="Times New Roman" w:cs="Arial"/>
                <w:color w:val="000000"/>
                <w:sz w:val="18"/>
                <w:szCs w:val="18"/>
                <w:lang w:eastAsia="en-GB"/>
              </w:rPr>
              <w:t>0,000</w:t>
            </w:r>
          </w:p>
        </w:tc>
        <w:tc>
          <w:tcPr>
            <w:tcW w:w="1435" w:type="dxa"/>
            <w:tcBorders>
              <w:top w:val="nil"/>
              <w:left w:val="nil"/>
              <w:bottom w:val="single" w:sz="4" w:space="0" w:color="auto"/>
              <w:right w:val="single" w:sz="4" w:space="0" w:color="auto"/>
            </w:tcBorders>
            <w:shd w:val="clear" w:color="000000" w:fill="FFFFFF"/>
            <w:vAlign w:val="center"/>
            <w:hideMark/>
          </w:tcPr>
          <w:p w14:paraId="0EFEDB82" w14:textId="784D0F0E"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0F56E2">
              <w:rPr>
                <w:rFonts w:eastAsia="Times New Roman" w:cs="Arial"/>
                <w:sz w:val="18"/>
                <w:szCs w:val="18"/>
                <w:lang w:eastAsia="en-GB"/>
              </w:rPr>
              <w:t>6</w:t>
            </w:r>
            <w:r w:rsidRPr="00162F22">
              <w:rPr>
                <w:rFonts w:eastAsia="Times New Roman" w:cs="Arial"/>
                <w:sz w:val="18"/>
                <w:szCs w:val="18"/>
                <w:lang w:eastAsia="en-GB"/>
              </w:rPr>
              <w:t>00,000</w:t>
            </w:r>
          </w:p>
        </w:tc>
      </w:tr>
      <w:tr w:rsidR="00925D39" w:rsidRPr="00162F22" w14:paraId="257AB232" w14:textId="77777777" w:rsidTr="00D27640">
        <w:trPr>
          <w:trHeight w:val="283"/>
        </w:trPr>
        <w:tc>
          <w:tcPr>
            <w:tcW w:w="3742" w:type="dxa"/>
            <w:tcBorders>
              <w:top w:val="nil"/>
              <w:left w:val="single" w:sz="8" w:space="0" w:color="auto"/>
              <w:bottom w:val="single" w:sz="8" w:space="0" w:color="auto"/>
              <w:right w:val="single" w:sz="4" w:space="0" w:color="auto"/>
            </w:tcBorders>
            <w:shd w:val="clear" w:color="000000" w:fill="FFFFFF"/>
            <w:vAlign w:val="center"/>
            <w:hideMark/>
          </w:tcPr>
          <w:p w14:paraId="1207B673" w14:textId="059C3964"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Geotech</w:t>
            </w:r>
            <w:r w:rsidR="005F0777">
              <w:rPr>
                <w:rFonts w:eastAsia="Times New Roman" w:cs="Arial"/>
                <w:color w:val="000000"/>
                <w:sz w:val="18"/>
                <w:szCs w:val="18"/>
                <w:lang w:eastAsia="en-GB"/>
              </w:rPr>
              <w:t xml:space="preserve"> / </w:t>
            </w:r>
            <w:r w:rsidR="00D2446E">
              <w:rPr>
                <w:rFonts w:eastAsia="Times New Roman" w:cs="Arial"/>
                <w:color w:val="000000"/>
                <w:sz w:val="18"/>
                <w:szCs w:val="18"/>
                <w:lang w:eastAsia="en-GB"/>
              </w:rPr>
              <w:t>S</w:t>
            </w:r>
            <w:r w:rsidRPr="00162F22">
              <w:rPr>
                <w:rFonts w:eastAsia="Times New Roman" w:cs="Arial"/>
                <w:color w:val="000000"/>
                <w:sz w:val="18"/>
                <w:szCs w:val="18"/>
                <w:lang w:eastAsia="en-GB"/>
              </w:rPr>
              <w:t>urveys</w:t>
            </w:r>
          </w:p>
        </w:tc>
        <w:tc>
          <w:tcPr>
            <w:tcW w:w="1531" w:type="dxa"/>
            <w:tcBorders>
              <w:top w:val="nil"/>
              <w:left w:val="nil"/>
              <w:bottom w:val="single" w:sz="8" w:space="0" w:color="auto"/>
              <w:right w:val="single" w:sz="4" w:space="0" w:color="auto"/>
            </w:tcBorders>
            <w:shd w:val="clear" w:color="000000" w:fill="FFFFFF"/>
            <w:vAlign w:val="center"/>
            <w:hideMark/>
          </w:tcPr>
          <w:p w14:paraId="4CEF1C2A" w14:textId="3C8DFBF9" w:rsidR="00162F22" w:rsidRPr="00162F22" w:rsidRDefault="00162F22" w:rsidP="00D27640">
            <w:pPr>
              <w:spacing w:after="0" w:line="240" w:lineRule="auto"/>
              <w:jc w:val="center"/>
              <w:rPr>
                <w:rFonts w:eastAsia="Times New Roman" w:cs="Arial"/>
                <w:color w:val="000000"/>
                <w:sz w:val="18"/>
                <w:szCs w:val="18"/>
                <w:lang w:eastAsia="en-GB"/>
              </w:rPr>
            </w:pPr>
          </w:p>
        </w:tc>
        <w:tc>
          <w:tcPr>
            <w:tcW w:w="1414" w:type="dxa"/>
            <w:tcBorders>
              <w:top w:val="nil"/>
              <w:left w:val="nil"/>
              <w:bottom w:val="single" w:sz="8" w:space="0" w:color="auto"/>
              <w:right w:val="single" w:sz="4" w:space="0" w:color="auto"/>
            </w:tcBorders>
            <w:shd w:val="clear" w:color="000000" w:fill="FFFFFF"/>
            <w:vAlign w:val="center"/>
            <w:hideMark/>
          </w:tcPr>
          <w:p w14:paraId="0C184E8E" w14:textId="2FACCADF"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sidR="00D2446E">
              <w:rPr>
                <w:rFonts w:eastAsia="Times New Roman" w:cs="Arial"/>
                <w:color w:val="000000"/>
                <w:sz w:val="18"/>
                <w:szCs w:val="18"/>
                <w:lang w:eastAsia="en-GB"/>
              </w:rPr>
              <w:t>100,000</w:t>
            </w:r>
          </w:p>
        </w:tc>
        <w:tc>
          <w:tcPr>
            <w:tcW w:w="1701" w:type="dxa"/>
            <w:tcBorders>
              <w:top w:val="nil"/>
              <w:left w:val="nil"/>
              <w:bottom w:val="single" w:sz="8" w:space="0" w:color="auto"/>
              <w:right w:val="single" w:sz="4" w:space="0" w:color="auto"/>
            </w:tcBorders>
            <w:shd w:val="clear" w:color="000000" w:fill="FFFFFF"/>
            <w:vAlign w:val="center"/>
            <w:hideMark/>
          </w:tcPr>
          <w:p w14:paraId="1B8A4227" w14:textId="76D615E2" w:rsidR="00162F22" w:rsidRPr="00162F22" w:rsidRDefault="00162F22"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£10</w:t>
            </w:r>
            <w:r w:rsidR="000F56E2">
              <w:rPr>
                <w:rFonts w:eastAsia="Times New Roman" w:cs="Arial"/>
                <w:color w:val="000000"/>
                <w:sz w:val="18"/>
                <w:szCs w:val="18"/>
                <w:lang w:eastAsia="en-GB"/>
              </w:rPr>
              <w:t>0</w:t>
            </w:r>
            <w:r w:rsidRPr="00162F22">
              <w:rPr>
                <w:rFonts w:eastAsia="Times New Roman" w:cs="Arial"/>
                <w:color w:val="000000"/>
                <w:sz w:val="18"/>
                <w:szCs w:val="18"/>
                <w:lang w:eastAsia="en-GB"/>
              </w:rPr>
              <w:t>,</w:t>
            </w:r>
            <w:r w:rsidR="000F56E2">
              <w:rPr>
                <w:rFonts w:eastAsia="Times New Roman" w:cs="Arial"/>
                <w:color w:val="000000"/>
                <w:sz w:val="18"/>
                <w:szCs w:val="18"/>
                <w:lang w:eastAsia="en-GB"/>
              </w:rPr>
              <w:t>0</w:t>
            </w:r>
            <w:r w:rsidRPr="00162F22">
              <w:rPr>
                <w:rFonts w:eastAsia="Times New Roman" w:cs="Arial"/>
                <w:color w:val="000000"/>
                <w:sz w:val="18"/>
                <w:szCs w:val="18"/>
                <w:lang w:eastAsia="en-GB"/>
              </w:rPr>
              <w:t>00</w:t>
            </w:r>
          </w:p>
        </w:tc>
        <w:tc>
          <w:tcPr>
            <w:tcW w:w="1435" w:type="dxa"/>
            <w:tcBorders>
              <w:top w:val="nil"/>
              <w:left w:val="nil"/>
              <w:bottom w:val="single" w:sz="8" w:space="0" w:color="auto"/>
              <w:right w:val="single" w:sz="4" w:space="0" w:color="auto"/>
            </w:tcBorders>
            <w:shd w:val="clear" w:color="000000" w:fill="FFFFFF"/>
            <w:vAlign w:val="center"/>
            <w:hideMark/>
          </w:tcPr>
          <w:p w14:paraId="22189E39" w14:textId="1F88136B" w:rsidR="00162F22" w:rsidRPr="00162F22" w:rsidRDefault="00162F22" w:rsidP="00D27640">
            <w:pPr>
              <w:spacing w:after="0" w:line="240" w:lineRule="auto"/>
              <w:jc w:val="center"/>
              <w:rPr>
                <w:rFonts w:eastAsia="Times New Roman" w:cs="Arial"/>
                <w:sz w:val="18"/>
                <w:szCs w:val="18"/>
                <w:lang w:eastAsia="en-GB"/>
              </w:rPr>
            </w:pPr>
            <w:r w:rsidRPr="00162F22">
              <w:rPr>
                <w:rFonts w:eastAsia="Times New Roman" w:cs="Arial"/>
                <w:sz w:val="18"/>
                <w:szCs w:val="18"/>
                <w:lang w:eastAsia="en-GB"/>
              </w:rPr>
              <w:t>£</w:t>
            </w:r>
            <w:r w:rsidR="000F56E2">
              <w:rPr>
                <w:rFonts w:eastAsia="Times New Roman" w:cs="Arial"/>
                <w:sz w:val="18"/>
                <w:szCs w:val="18"/>
                <w:lang w:eastAsia="en-GB"/>
              </w:rPr>
              <w:t>96,570</w:t>
            </w:r>
          </w:p>
        </w:tc>
      </w:tr>
      <w:tr w:rsidR="00925D39" w:rsidRPr="00162F22" w14:paraId="22C69DCC" w14:textId="77777777" w:rsidTr="00D27640">
        <w:trPr>
          <w:trHeight w:val="283"/>
        </w:trPr>
        <w:tc>
          <w:tcPr>
            <w:tcW w:w="3742" w:type="dxa"/>
            <w:tcBorders>
              <w:top w:val="nil"/>
              <w:left w:val="single" w:sz="8" w:space="0" w:color="auto"/>
              <w:bottom w:val="single" w:sz="8" w:space="0" w:color="auto"/>
              <w:right w:val="single" w:sz="4" w:space="0" w:color="auto"/>
            </w:tcBorders>
            <w:shd w:val="clear" w:color="auto" w:fill="auto"/>
            <w:vAlign w:val="center"/>
            <w:hideMark/>
          </w:tcPr>
          <w:p w14:paraId="6F12F88F" w14:textId="77777777"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Core TAMP Sub Total</w:t>
            </w:r>
          </w:p>
        </w:tc>
        <w:tc>
          <w:tcPr>
            <w:tcW w:w="1531" w:type="dxa"/>
            <w:tcBorders>
              <w:top w:val="nil"/>
              <w:left w:val="nil"/>
              <w:bottom w:val="single" w:sz="8" w:space="0" w:color="auto"/>
              <w:right w:val="single" w:sz="4" w:space="0" w:color="auto"/>
            </w:tcBorders>
            <w:shd w:val="clear" w:color="auto" w:fill="auto"/>
            <w:vAlign w:val="center"/>
            <w:hideMark/>
          </w:tcPr>
          <w:p w14:paraId="45D68255" w14:textId="740B8C45"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sidR="00D2446E">
              <w:rPr>
                <w:rFonts w:eastAsia="Times New Roman" w:cs="Arial"/>
                <w:b/>
                <w:bCs/>
                <w:color w:val="000000"/>
                <w:sz w:val="18"/>
                <w:szCs w:val="18"/>
                <w:lang w:eastAsia="en-GB"/>
              </w:rPr>
              <w:t>25,000,000</w:t>
            </w:r>
          </w:p>
        </w:tc>
        <w:tc>
          <w:tcPr>
            <w:tcW w:w="1414" w:type="dxa"/>
            <w:tcBorders>
              <w:top w:val="nil"/>
              <w:left w:val="nil"/>
              <w:bottom w:val="single" w:sz="8" w:space="0" w:color="auto"/>
              <w:right w:val="single" w:sz="4" w:space="0" w:color="auto"/>
            </w:tcBorders>
            <w:shd w:val="clear" w:color="auto" w:fill="auto"/>
            <w:vAlign w:val="center"/>
            <w:hideMark/>
          </w:tcPr>
          <w:p w14:paraId="5152BE6F" w14:textId="1B7BAD6D"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sidR="00D2446E">
              <w:rPr>
                <w:rFonts w:eastAsia="Times New Roman" w:cs="Arial"/>
                <w:b/>
                <w:bCs/>
                <w:color w:val="000000"/>
                <w:sz w:val="18"/>
                <w:szCs w:val="18"/>
                <w:lang w:eastAsia="en-GB"/>
              </w:rPr>
              <w:t>20,375,000</w:t>
            </w:r>
          </w:p>
        </w:tc>
        <w:tc>
          <w:tcPr>
            <w:tcW w:w="1701" w:type="dxa"/>
            <w:tcBorders>
              <w:top w:val="nil"/>
              <w:left w:val="nil"/>
              <w:bottom w:val="single" w:sz="8" w:space="0" w:color="auto"/>
              <w:right w:val="single" w:sz="4" w:space="0" w:color="auto"/>
            </w:tcBorders>
            <w:shd w:val="clear" w:color="auto" w:fill="auto"/>
            <w:vAlign w:val="center"/>
            <w:hideMark/>
          </w:tcPr>
          <w:p w14:paraId="6E609412" w14:textId="287DFB30"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sidR="000F56E2">
              <w:rPr>
                <w:rFonts w:eastAsia="Times New Roman" w:cs="Arial"/>
                <w:b/>
                <w:bCs/>
                <w:color w:val="000000"/>
                <w:sz w:val="18"/>
                <w:szCs w:val="18"/>
                <w:lang w:eastAsia="en-GB"/>
              </w:rPr>
              <w:t>31,741,000</w:t>
            </w:r>
          </w:p>
        </w:tc>
        <w:tc>
          <w:tcPr>
            <w:tcW w:w="1435" w:type="dxa"/>
            <w:tcBorders>
              <w:top w:val="nil"/>
              <w:left w:val="nil"/>
              <w:bottom w:val="single" w:sz="8" w:space="0" w:color="auto"/>
              <w:right w:val="single" w:sz="4" w:space="0" w:color="auto"/>
            </w:tcBorders>
            <w:shd w:val="clear" w:color="auto" w:fill="auto"/>
            <w:vAlign w:val="center"/>
            <w:hideMark/>
          </w:tcPr>
          <w:p w14:paraId="0A1D5806" w14:textId="198B922B" w:rsidR="00162F22" w:rsidRPr="00162F22" w:rsidRDefault="00162F22"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£18,6</w:t>
            </w:r>
            <w:r w:rsidR="000F56E2">
              <w:rPr>
                <w:rFonts w:eastAsia="Times New Roman" w:cs="Arial"/>
                <w:b/>
                <w:bCs/>
                <w:color w:val="000000"/>
                <w:sz w:val="18"/>
                <w:szCs w:val="18"/>
                <w:lang w:eastAsia="en-GB"/>
              </w:rPr>
              <w:t>17</w:t>
            </w:r>
            <w:r w:rsidRPr="00162F22">
              <w:rPr>
                <w:rFonts w:eastAsia="Times New Roman" w:cs="Arial"/>
                <w:b/>
                <w:bCs/>
                <w:color w:val="000000"/>
                <w:sz w:val="18"/>
                <w:szCs w:val="18"/>
                <w:lang w:eastAsia="en-GB"/>
              </w:rPr>
              <w:t>,</w:t>
            </w:r>
            <w:r w:rsidR="000F56E2">
              <w:rPr>
                <w:rFonts w:eastAsia="Times New Roman" w:cs="Arial"/>
                <w:b/>
                <w:bCs/>
                <w:color w:val="000000"/>
                <w:sz w:val="18"/>
                <w:szCs w:val="18"/>
                <w:lang w:eastAsia="en-GB"/>
              </w:rPr>
              <w:t>980</w:t>
            </w:r>
          </w:p>
        </w:tc>
      </w:tr>
      <w:tr w:rsidR="000F56E2" w:rsidRPr="00162F22" w14:paraId="33862E75" w14:textId="77777777" w:rsidTr="00D27640">
        <w:trPr>
          <w:trHeight w:val="283"/>
        </w:trPr>
        <w:tc>
          <w:tcPr>
            <w:tcW w:w="3742" w:type="dxa"/>
            <w:tcBorders>
              <w:top w:val="nil"/>
              <w:left w:val="single" w:sz="8" w:space="0" w:color="auto"/>
              <w:bottom w:val="single" w:sz="6" w:space="0" w:color="auto"/>
              <w:right w:val="single" w:sz="4" w:space="0" w:color="auto"/>
            </w:tcBorders>
            <w:shd w:val="clear" w:color="auto" w:fill="FDE9D9" w:themeFill="accent6" w:themeFillTint="33"/>
            <w:vAlign w:val="center"/>
            <w:hideMark/>
          </w:tcPr>
          <w:p w14:paraId="38A056C1" w14:textId="5F7A88F9" w:rsidR="000F56E2" w:rsidRPr="00162F22" w:rsidRDefault="000F56E2"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Summary Totals</w:t>
            </w:r>
            <w:r w:rsidR="00FE60A3">
              <w:rPr>
                <w:rFonts w:eastAsia="Times New Roman" w:cs="Arial"/>
                <w:b/>
                <w:bCs/>
                <w:color w:val="000000"/>
                <w:sz w:val="18"/>
                <w:szCs w:val="18"/>
                <w:lang w:eastAsia="en-GB"/>
              </w:rPr>
              <w:t xml:space="preserve"> by Programme</w:t>
            </w:r>
          </w:p>
        </w:tc>
        <w:tc>
          <w:tcPr>
            <w:tcW w:w="1531" w:type="dxa"/>
            <w:tcBorders>
              <w:top w:val="nil"/>
              <w:left w:val="nil"/>
              <w:bottom w:val="single" w:sz="4" w:space="0" w:color="auto"/>
              <w:right w:val="single" w:sz="4" w:space="0" w:color="auto"/>
            </w:tcBorders>
            <w:shd w:val="clear" w:color="auto" w:fill="FDE9D9" w:themeFill="accent6" w:themeFillTint="33"/>
            <w:vAlign w:val="center"/>
          </w:tcPr>
          <w:p w14:paraId="7A2CF410" w14:textId="44615604" w:rsidR="000F56E2" w:rsidRPr="00162F22" w:rsidRDefault="000F56E2" w:rsidP="00D27640">
            <w:pPr>
              <w:spacing w:after="0" w:line="240" w:lineRule="auto"/>
              <w:jc w:val="center"/>
              <w:rPr>
                <w:rFonts w:eastAsia="Times New Roman" w:cs="Arial"/>
                <w:b/>
                <w:bCs/>
                <w:color w:val="000000"/>
                <w:sz w:val="18"/>
                <w:szCs w:val="18"/>
                <w:lang w:eastAsia="en-GB"/>
              </w:rPr>
            </w:pPr>
          </w:p>
        </w:tc>
        <w:tc>
          <w:tcPr>
            <w:tcW w:w="1414" w:type="dxa"/>
            <w:tcBorders>
              <w:top w:val="nil"/>
              <w:left w:val="nil"/>
              <w:bottom w:val="single" w:sz="4" w:space="0" w:color="auto"/>
              <w:right w:val="single" w:sz="4" w:space="0" w:color="auto"/>
            </w:tcBorders>
            <w:shd w:val="clear" w:color="auto" w:fill="FDE9D9" w:themeFill="accent6" w:themeFillTint="33"/>
            <w:vAlign w:val="center"/>
          </w:tcPr>
          <w:p w14:paraId="299C14BB" w14:textId="649F0A77" w:rsidR="000F56E2" w:rsidRPr="00162F22" w:rsidRDefault="000F56E2" w:rsidP="00D27640">
            <w:pPr>
              <w:spacing w:after="0" w:line="240" w:lineRule="auto"/>
              <w:jc w:val="center"/>
              <w:rPr>
                <w:rFonts w:eastAsia="Times New Roman" w:cs="Arial"/>
                <w:b/>
                <w:bCs/>
                <w:color w:val="000000"/>
                <w:sz w:val="18"/>
                <w:szCs w:val="18"/>
                <w:lang w:eastAsia="en-GB"/>
              </w:rPr>
            </w:pPr>
          </w:p>
        </w:tc>
        <w:tc>
          <w:tcPr>
            <w:tcW w:w="1701" w:type="dxa"/>
            <w:tcBorders>
              <w:top w:val="nil"/>
              <w:left w:val="nil"/>
              <w:bottom w:val="single" w:sz="4" w:space="0" w:color="auto"/>
              <w:right w:val="single" w:sz="4" w:space="0" w:color="auto"/>
            </w:tcBorders>
            <w:shd w:val="clear" w:color="auto" w:fill="FDE9D9" w:themeFill="accent6" w:themeFillTint="33"/>
            <w:vAlign w:val="center"/>
          </w:tcPr>
          <w:p w14:paraId="63D41AC8" w14:textId="74B87CF7" w:rsidR="000F56E2" w:rsidRPr="00162F22" w:rsidRDefault="000F56E2" w:rsidP="00D27640">
            <w:pPr>
              <w:spacing w:after="0" w:line="240" w:lineRule="auto"/>
              <w:jc w:val="center"/>
              <w:rPr>
                <w:rFonts w:eastAsia="Times New Roman" w:cs="Arial"/>
                <w:b/>
                <w:bCs/>
                <w:color w:val="000000"/>
                <w:sz w:val="18"/>
                <w:szCs w:val="18"/>
                <w:lang w:eastAsia="en-GB"/>
              </w:rPr>
            </w:pPr>
          </w:p>
        </w:tc>
        <w:tc>
          <w:tcPr>
            <w:tcW w:w="1435" w:type="dxa"/>
            <w:tcBorders>
              <w:top w:val="nil"/>
              <w:left w:val="nil"/>
              <w:bottom w:val="single" w:sz="4" w:space="0" w:color="auto"/>
              <w:right w:val="single" w:sz="4" w:space="0" w:color="auto"/>
            </w:tcBorders>
            <w:shd w:val="clear" w:color="auto" w:fill="FDE9D9" w:themeFill="accent6" w:themeFillTint="33"/>
            <w:vAlign w:val="center"/>
          </w:tcPr>
          <w:p w14:paraId="5B14441F" w14:textId="01FD7D31" w:rsidR="000F56E2" w:rsidRPr="00162F22" w:rsidRDefault="000F56E2" w:rsidP="00D27640">
            <w:pPr>
              <w:spacing w:after="0" w:line="240" w:lineRule="auto"/>
              <w:jc w:val="center"/>
              <w:rPr>
                <w:rFonts w:eastAsia="Times New Roman" w:cs="Arial"/>
                <w:b/>
                <w:bCs/>
                <w:color w:val="000000"/>
                <w:sz w:val="18"/>
                <w:szCs w:val="18"/>
                <w:lang w:eastAsia="en-GB"/>
              </w:rPr>
            </w:pPr>
          </w:p>
        </w:tc>
      </w:tr>
      <w:tr w:rsidR="00FE60A3" w:rsidRPr="00162F22" w14:paraId="1CA1B2E2"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6EB8363" w14:textId="3A33F809"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 xml:space="preserve">Non </w:t>
            </w:r>
            <w:r w:rsidRPr="00FE60A3">
              <w:rPr>
                <w:rFonts w:eastAsia="Times New Roman" w:cs="Arial"/>
                <w:color w:val="000000"/>
                <w:sz w:val="18"/>
                <w:szCs w:val="18"/>
                <w:lang w:eastAsia="en-GB"/>
              </w:rPr>
              <w:t>–</w:t>
            </w:r>
            <w:r w:rsidRPr="00162F22">
              <w:rPr>
                <w:rFonts w:eastAsia="Times New Roman" w:cs="Arial"/>
                <w:color w:val="000000"/>
                <w:sz w:val="18"/>
                <w:szCs w:val="18"/>
                <w:lang w:eastAsia="en-GB"/>
              </w:rPr>
              <w:t xml:space="preserve"> </w:t>
            </w:r>
            <w:r w:rsidRPr="00FE60A3">
              <w:rPr>
                <w:rFonts w:eastAsia="Times New Roman" w:cs="Arial"/>
                <w:color w:val="000000"/>
                <w:sz w:val="18"/>
                <w:szCs w:val="18"/>
                <w:lang w:eastAsia="en-GB"/>
              </w:rPr>
              <w:t>C</w:t>
            </w:r>
            <w:r w:rsidRPr="00162F22">
              <w:rPr>
                <w:rFonts w:eastAsia="Times New Roman" w:cs="Arial"/>
                <w:color w:val="000000"/>
                <w:sz w:val="18"/>
                <w:szCs w:val="18"/>
                <w:lang w:eastAsia="en-GB"/>
              </w:rPr>
              <w:t>ore</w:t>
            </w:r>
            <w:r w:rsidRPr="00FE60A3">
              <w:rPr>
                <w:rFonts w:eastAsia="Times New Roman" w:cs="Arial"/>
                <w:color w:val="000000"/>
                <w:sz w:val="18"/>
                <w:szCs w:val="18"/>
                <w:lang w:eastAsia="en-GB"/>
              </w:rPr>
              <w:t xml:space="preserve"> TAMP</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141C102F" w14:textId="76BF32D4" w:rsidR="00FE60A3" w:rsidRPr="00162F22" w:rsidRDefault="00FE60A3" w:rsidP="00D27640">
            <w:pPr>
              <w:spacing w:after="0" w:line="240" w:lineRule="auto"/>
              <w:jc w:val="center"/>
              <w:rPr>
                <w:rFonts w:eastAsia="Times New Roman" w:cs="Arial"/>
                <w:color w:val="000000"/>
                <w:sz w:val="18"/>
                <w:szCs w:val="18"/>
                <w:lang w:eastAsia="en-GB"/>
              </w:rPr>
            </w:pP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13A59CCA" w14:textId="51BCBC6F"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3,785,000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7CB052" w14:textId="696E7243"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4,570,000</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718529CE" w14:textId="0EF15897"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£3,</w:t>
            </w:r>
            <w:r>
              <w:rPr>
                <w:rFonts w:eastAsia="Times New Roman" w:cs="Arial"/>
                <w:color w:val="000000"/>
                <w:sz w:val="18"/>
                <w:szCs w:val="18"/>
                <w:lang w:eastAsia="en-GB"/>
              </w:rPr>
              <w:t>847,021</w:t>
            </w:r>
          </w:p>
        </w:tc>
      </w:tr>
      <w:tr w:rsidR="00FE60A3" w:rsidRPr="00162F22" w14:paraId="6DC6EC18"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2584313" w14:textId="2EFEA6DA"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Core TAMP</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0F11E182" w14:textId="200DECBF" w:rsidR="00FE60A3" w:rsidRPr="00162F22" w:rsidRDefault="00FE60A3" w:rsidP="00D27640">
            <w:pPr>
              <w:spacing w:after="0" w:line="240" w:lineRule="auto"/>
              <w:jc w:val="center"/>
              <w:rPr>
                <w:rFonts w:eastAsia="Times New Roman" w:cs="Arial"/>
                <w:color w:val="000000"/>
                <w:sz w:val="18"/>
                <w:szCs w:val="18"/>
                <w:lang w:eastAsia="en-GB"/>
              </w:rPr>
            </w:pP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3C04F525" w14:textId="578CCB6F"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20,375,000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3D70C6" w14:textId="44C19F1C"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31,741,000</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411C17B9" w14:textId="7C3A658B" w:rsidR="00FE60A3" w:rsidRPr="00162F22" w:rsidRDefault="00FE60A3" w:rsidP="00D27640">
            <w:pPr>
              <w:spacing w:after="0" w:line="240" w:lineRule="auto"/>
              <w:jc w:val="center"/>
              <w:rPr>
                <w:rFonts w:eastAsia="Times New Roman" w:cs="Arial"/>
                <w:color w:val="000000"/>
                <w:sz w:val="18"/>
                <w:szCs w:val="18"/>
                <w:lang w:eastAsia="en-GB"/>
              </w:rPr>
            </w:pPr>
            <w:r w:rsidRPr="00162F22">
              <w:rPr>
                <w:rFonts w:eastAsia="Times New Roman" w:cs="Arial"/>
                <w:color w:val="000000"/>
                <w:sz w:val="18"/>
                <w:szCs w:val="18"/>
                <w:lang w:eastAsia="en-GB"/>
              </w:rPr>
              <w:t>£</w:t>
            </w:r>
            <w:r>
              <w:rPr>
                <w:rFonts w:eastAsia="Times New Roman" w:cs="Arial"/>
                <w:color w:val="000000"/>
                <w:sz w:val="18"/>
                <w:szCs w:val="18"/>
                <w:lang w:eastAsia="en-GB"/>
              </w:rPr>
              <w:t>18,617,980</w:t>
            </w:r>
          </w:p>
        </w:tc>
      </w:tr>
      <w:tr w:rsidR="00FE60A3" w:rsidRPr="00162F22" w14:paraId="41CA8367"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35C5766" w14:textId="38275CBD" w:rsidR="00FE60A3" w:rsidRPr="00162F22" w:rsidRDefault="00FE60A3"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Total</w:t>
            </w:r>
          </w:p>
        </w:tc>
        <w:tc>
          <w:tcPr>
            <w:tcW w:w="1531" w:type="dxa"/>
            <w:tcBorders>
              <w:top w:val="single" w:sz="4" w:space="0" w:color="auto"/>
              <w:left w:val="single" w:sz="6" w:space="0" w:color="auto"/>
              <w:bottom w:val="single" w:sz="4" w:space="0" w:color="auto"/>
              <w:right w:val="single" w:sz="4" w:space="0" w:color="auto"/>
            </w:tcBorders>
            <w:shd w:val="clear" w:color="000000" w:fill="FFFFFF"/>
            <w:vAlign w:val="center"/>
          </w:tcPr>
          <w:p w14:paraId="08918F24" w14:textId="51402D6F" w:rsidR="00FE60A3" w:rsidRPr="00162F22" w:rsidRDefault="00FE60A3" w:rsidP="00D27640">
            <w:pPr>
              <w:spacing w:after="0" w:line="240" w:lineRule="auto"/>
              <w:jc w:val="center"/>
              <w:rPr>
                <w:rFonts w:eastAsia="Times New Roman" w:cs="Arial"/>
                <w:b/>
                <w:bCs/>
                <w:color w:val="000000"/>
                <w:sz w:val="18"/>
                <w:szCs w:val="18"/>
                <w:lang w:eastAsia="en-GB"/>
              </w:rPr>
            </w:pP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532D1C90" w14:textId="4E364E16" w:rsidR="00FE60A3" w:rsidRPr="00162F22" w:rsidRDefault="00FE60A3"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w:t>
            </w:r>
            <w:r>
              <w:rPr>
                <w:rFonts w:eastAsia="Times New Roman" w:cs="Arial"/>
                <w:b/>
                <w:bCs/>
                <w:color w:val="000000"/>
                <w:sz w:val="18"/>
                <w:szCs w:val="18"/>
                <w:lang w:eastAsia="en-GB"/>
              </w:rPr>
              <w:t>24,160,000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4AD9AE8" w14:textId="3E16E40C" w:rsidR="00FE60A3" w:rsidRPr="00162F22" w:rsidRDefault="00FE60A3"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£36,311,000</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131C5A8D" w14:textId="76B571A8" w:rsidR="00FE60A3" w:rsidRPr="00162F22" w:rsidRDefault="00FE60A3" w:rsidP="00D27640">
            <w:pPr>
              <w:spacing w:after="0" w:line="240" w:lineRule="auto"/>
              <w:jc w:val="center"/>
              <w:rPr>
                <w:rFonts w:eastAsia="Times New Roman" w:cs="Arial"/>
                <w:b/>
                <w:bCs/>
                <w:color w:val="000000"/>
                <w:sz w:val="18"/>
                <w:szCs w:val="18"/>
                <w:lang w:eastAsia="en-GB"/>
              </w:rPr>
            </w:pPr>
            <w:r w:rsidRPr="00162F22">
              <w:rPr>
                <w:rFonts w:eastAsia="Times New Roman" w:cs="Arial"/>
                <w:b/>
                <w:bCs/>
                <w:color w:val="000000"/>
                <w:sz w:val="18"/>
                <w:szCs w:val="18"/>
                <w:lang w:eastAsia="en-GB"/>
              </w:rPr>
              <w:t>£22,</w:t>
            </w:r>
            <w:r>
              <w:rPr>
                <w:rFonts w:eastAsia="Times New Roman" w:cs="Arial"/>
                <w:b/>
                <w:bCs/>
                <w:color w:val="000000"/>
                <w:sz w:val="18"/>
                <w:szCs w:val="18"/>
                <w:lang w:eastAsia="en-GB"/>
              </w:rPr>
              <w:t>465</w:t>
            </w:r>
            <w:r w:rsidRPr="00162F22">
              <w:rPr>
                <w:rFonts w:eastAsia="Times New Roman" w:cs="Arial"/>
                <w:b/>
                <w:bCs/>
                <w:color w:val="000000"/>
                <w:sz w:val="18"/>
                <w:szCs w:val="18"/>
                <w:lang w:eastAsia="en-GB"/>
              </w:rPr>
              <w:t>,000</w:t>
            </w:r>
          </w:p>
        </w:tc>
      </w:tr>
      <w:tr w:rsidR="00FE60A3" w:rsidRPr="00162F22" w14:paraId="35BE4666"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FDE9D9" w:themeFill="accent6" w:themeFillTint="33"/>
            <w:vAlign w:val="center"/>
          </w:tcPr>
          <w:p w14:paraId="3E11A112" w14:textId="682DFB38" w:rsidR="00FE60A3" w:rsidRPr="00162F22" w:rsidRDefault="00FE60A3"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Anticipated Total Grant</w:t>
            </w:r>
          </w:p>
        </w:tc>
        <w:tc>
          <w:tcPr>
            <w:tcW w:w="1531" w:type="dxa"/>
            <w:tcBorders>
              <w:top w:val="single" w:sz="4" w:space="0" w:color="auto"/>
              <w:left w:val="single" w:sz="6" w:space="0" w:color="auto"/>
              <w:bottom w:val="single" w:sz="4" w:space="0" w:color="auto"/>
              <w:right w:val="single" w:sz="4" w:space="0" w:color="auto"/>
            </w:tcBorders>
            <w:shd w:val="clear" w:color="auto" w:fill="FDE9D9" w:themeFill="accent6" w:themeFillTint="33"/>
            <w:vAlign w:val="center"/>
          </w:tcPr>
          <w:p w14:paraId="455D0B1A" w14:textId="77777777" w:rsidR="00FE60A3" w:rsidRPr="00162F22" w:rsidRDefault="00FE60A3" w:rsidP="00D27640">
            <w:pPr>
              <w:spacing w:after="0" w:line="240" w:lineRule="auto"/>
              <w:jc w:val="center"/>
              <w:rPr>
                <w:rFonts w:eastAsia="Times New Roman" w:cs="Arial"/>
                <w:b/>
                <w:bCs/>
                <w:color w:val="000000"/>
                <w:sz w:val="18"/>
                <w:szCs w:val="18"/>
                <w:lang w:eastAsia="en-GB"/>
              </w:rPr>
            </w:pPr>
          </w:p>
        </w:tc>
        <w:tc>
          <w:tcPr>
            <w:tcW w:w="141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D7FC867" w14:textId="1720486F" w:rsidR="00FE60A3" w:rsidRPr="00162F22" w:rsidRDefault="00FE60A3"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£22,465,000</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A37D6BB" w14:textId="41A5452D" w:rsidR="00FE60A3" w:rsidRDefault="00FE60A3" w:rsidP="00D27640">
            <w:pPr>
              <w:spacing w:after="0" w:line="240" w:lineRule="auto"/>
              <w:jc w:val="center"/>
              <w:rPr>
                <w:rFonts w:eastAsia="Times New Roman" w:cs="Arial"/>
                <w:b/>
                <w:bCs/>
                <w:color w:val="000000"/>
                <w:sz w:val="18"/>
                <w:szCs w:val="18"/>
                <w:lang w:eastAsia="en-GB"/>
              </w:rPr>
            </w:pPr>
            <w:r w:rsidRPr="00BD08A5">
              <w:rPr>
                <w:rFonts w:eastAsia="Times New Roman" w:cs="Arial"/>
                <w:b/>
                <w:bCs/>
                <w:color w:val="000000"/>
                <w:sz w:val="18"/>
                <w:szCs w:val="18"/>
                <w:lang w:eastAsia="en-GB"/>
              </w:rPr>
              <w:t>£22,465,000</w:t>
            </w:r>
          </w:p>
        </w:tc>
        <w:tc>
          <w:tcPr>
            <w:tcW w:w="143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B35B06E" w14:textId="7C5BA476" w:rsidR="00FE60A3" w:rsidRPr="00162F22" w:rsidRDefault="00FE60A3" w:rsidP="00D27640">
            <w:pPr>
              <w:spacing w:after="0" w:line="240" w:lineRule="auto"/>
              <w:jc w:val="center"/>
              <w:rPr>
                <w:rFonts w:eastAsia="Times New Roman" w:cs="Arial"/>
                <w:b/>
                <w:bCs/>
                <w:color w:val="000000"/>
                <w:sz w:val="18"/>
                <w:szCs w:val="18"/>
                <w:lang w:eastAsia="en-GB"/>
              </w:rPr>
            </w:pPr>
            <w:r w:rsidRPr="00BD08A5">
              <w:rPr>
                <w:rFonts w:eastAsia="Times New Roman" w:cs="Arial"/>
                <w:b/>
                <w:bCs/>
                <w:color w:val="000000"/>
                <w:sz w:val="18"/>
                <w:szCs w:val="18"/>
                <w:lang w:eastAsia="en-GB"/>
              </w:rPr>
              <w:t>£22,465,000</w:t>
            </w:r>
          </w:p>
        </w:tc>
      </w:tr>
      <w:tr w:rsidR="00FE60A3" w:rsidRPr="00162F22" w14:paraId="1C42DB86" w14:textId="77777777" w:rsidTr="00D27640">
        <w:trPr>
          <w:trHeight w:val="283"/>
        </w:trPr>
        <w:tc>
          <w:tcPr>
            <w:tcW w:w="3742" w:type="dxa"/>
            <w:tcBorders>
              <w:top w:val="single" w:sz="6" w:space="0" w:color="auto"/>
              <w:left w:val="single" w:sz="8" w:space="0" w:color="auto"/>
              <w:bottom w:val="single" w:sz="6" w:space="0" w:color="auto"/>
              <w:right w:val="single" w:sz="6" w:space="0" w:color="auto"/>
            </w:tcBorders>
            <w:shd w:val="clear" w:color="auto" w:fill="FDE9D9" w:themeFill="accent6" w:themeFillTint="33"/>
            <w:vAlign w:val="center"/>
          </w:tcPr>
          <w:p w14:paraId="7C456A7F" w14:textId="710AB8B2" w:rsidR="00FE60A3" w:rsidRPr="00162F22" w:rsidRDefault="00A7577D" w:rsidP="00D2764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Funding Gap</w:t>
            </w:r>
          </w:p>
        </w:tc>
        <w:tc>
          <w:tcPr>
            <w:tcW w:w="1531" w:type="dxa"/>
            <w:tcBorders>
              <w:top w:val="single" w:sz="4" w:space="0" w:color="auto"/>
              <w:left w:val="single" w:sz="6" w:space="0" w:color="auto"/>
              <w:bottom w:val="single" w:sz="4" w:space="0" w:color="auto"/>
              <w:right w:val="single" w:sz="4" w:space="0" w:color="auto"/>
            </w:tcBorders>
            <w:shd w:val="clear" w:color="auto" w:fill="FDE9D9" w:themeFill="accent6" w:themeFillTint="33"/>
            <w:vAlign w:val="center"/>
          </w:tcPr>
          <w:p w14:paraId="0E13919C" w14:textId="77777777" w:rsidR="00FE60A3" w:rsidRPr="00162F22" w:rsidRDefault="00FE60A3" w:rsidP="00D27640">
            <w:pPr>
              <w:spacing w:after="0" w:line="240" w:lineRule="auto"/>
              <w:jc w:val="center"/>
              <w:rPr>
                <w:rFonts w:eastAsia="Times New Roman" w:cs="Arial"/>
                <w:b/>
                <w:bCs/>
                <w:color w:val="000000"/>
                <w:sz w:val="18"/>
                <w:szCs w:val="18"/>
                <w:lang w:eastAsia="en-GB"/>
              </w:rPr>
            </w:pPr>
          </w:p>
        </w:tc>
        <w:tc>
          <w:tcPr>
            <w:tcW w:w="141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FC5D0BC" w14:textId="5A8A4C00" w:rsidR="00FE60A3" w:rsidRPr="00162F22" w:rsidRDefault="00FE60A3" w:rsidP="00D27640">
            <w:pPr>
              <w:spacing w:after="0" w:line="240" w:lineRule="auto"/>
              <w:jc w:val="center"/>
              <w:rPr>
                <w:rFonts w:eastAsia="Times New Roman" w:cs="Arial"/>
                <w:b/>
                <w:bCs/>
                <w:color w:val="000000"/>
                <w:sz w:val="18"/>
                <w:szCs w:val="18"/>
                <w:lang w:eastAsia="en-GB"/>
              </w:rPr>
            </w:pPr>
            <w:r w:rsidRPr="00FE60A3">
              <w:rPr>
                <w:rFonts w:eastAsia="Times New Roman" w:cs="Arial"/>
                <w:b/>
                <w:bCs/>
                <w:color w:val="C00000"/>
                <w:sz w:val="18"/>
                <w:szCs w:val="18"/>
                <w:lang w:eastAsia="en-GB"/>
              </w:rPr>
              <w:t>£1,695,500</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2E58595" w14:textId="56587A82" w:rsidR="00FE60A3" w:rsidRDefault="00FE60A3" w:rsidP="00D27640">
            <w:pPr>
              <w:spacing w:after="0" w:line="240" w:lineRule="auto"/>
              <w:jc w:val="center"/>
              <w:rPr>
                <w:rFonts w:eastAsia="Times New Roman" w:cs="Arial"/>
                <w:b/>
                <w:bCs/>
                <w:color w:val="000000"/>
                <w:sz w:val="18"/>
                <w:szCs w:val="18"/>
                <w:lang w:eastAsia="en-GB"/>
              </w:rPr>
            </w:pPr>
            <w:r w:rsidRPr="00FE60A3">
              <w:rPr>
                <w:rFonts w:eastAsia="Times New Roman" w:cs="Arial"/>
                <w:b/>
                <w:bCs/>
                <w:color w:val="C00000"/>
                <w:sz w:val="18"/>
                <w:szCs w:val="18"/>
                <w:lang w:eastAsia="en-GB"/>
              </w:rPr>
              <w:t>£</w:t>
            </w:r>
            <w:r>
              <w:rPr>
                <w:rFonts w:eastAsia="Times New Roman" w:cs="Arial"/>
                <w:b/>
                <w:bCs/>
                <w:color w:val="C00000"/>
                <w:sz w:val="18"/>
                <w:szCs w:val="18"/>
                <w:lang w:eastAsia="en-GB"/>
              </w:rPr>
              <w:t>13,846,600</w:t>
            </w:r>
          </w:p>
        </w:tc>
        <w:tc>
          <w:tcPr>
            <w:tcW w:w="143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A424AF8" w14:textId="486C0171" w:rsidR="00FE60A3" w:rsidRPr="00162F22" w:rsidRDefault="00FE60A3" w:rsidP="00D27640">
            <w:pPr>
              <w:spacing w:after="0" w:line="240" w:lineRule="auto"/>
              <w:jc w:val="center"/>
              <w:rPr>
                <w:rFonts w:eastAsia="Times New Roman" w:cs="Arial"/>
                <w:b/>
                <w:bCs/>
                <w:color w:val="000000"/>
                <w:sz w:val="18"/>
                <w:szCs w:val="18"/>
                <w:lang w:eastAsia="en-GB"/>
              </w:rPr>
            </w:pPr>
            <w:r w:rsidRPr="00FE60A3">
              <w:rPr>
                <w:rFonts w:eastAsia="Times New Roman" w:cs="Arial"/>
                <w:b/>
                <w:bCs/>
                <w:color w:val="000000" w:themeColor="text1"/>
                <w:sz w:val="18"/>
                <w:szCs w:val="18"/>
                <w:lang w:eastAsia="en-GB"/>
              </w:rPr>
              <w:t>£0</w:t>
            </w:r>
          </w:p>
        </w:tc>
      </w:tr>
    </w:tbl>
    <w:p w14:paraId="3D31D17F" w14:textId="3B3ED08D" w:rsidR="00066C08" w:rsidRDefault="00066C08" w:rsidP="001528C9">
      <w:pPr>
        <w:spacing w:after="0"/>
        <w:rPr>
          <w:szCs w:val="24"/>
        </w:rPr>
      </w:pPr>
    </w:p>
    <w:p w14:paraId="3ED2EBD1" w14:textId="77777777" w:rsidR="00066C08" w:rsidRDefault="00066C08">
      <w:pPr>
        <w:rPr>
          <w:rFonts w:cs="Arial"/>
          <w:color w:val="000000" w:themeColor="text1"/>
        </w:rPr>
        <w:sectPr w:rsidR="00066C08" w:rsidSect="00066C08">
          <w:pgSz w:w="11906" w:h="16838"/>
          <w:pgMar w:top="1134" w:right="1134" w:bottom="1134" w:left="1134" w:header="709" w:footer="709" w:gutter="0"/>
          <w:cols w:space="708"/>
          <w:docGrid w:linePitch="360"/>
        </w:sectPr>
      </w:pPr>
    </w:p>
    <w:p w14:paraId="62A53C7D" w14:textId="3B4B746F" w:rsidR="00E56063" w:rsidRDefault="00E56063" w:rsidP="009D3C5F">
      <w:pPr>
        <w:spacing w:after="0"/>
        <w:ind w:left="12960"/>
        <w:rPr>
          <w:b/>
        </w:rPr>
      </w:pPr>
      <w:r>
        <w:rPr>
          <w:b/>
        </w:rPr>
        <w:lastRenderedPageBreak/>
        <w:t>Appendix 3</w:t>
      </w:r>
    </w:p>
    <w:p w14:paraId="75639EF8" w14:textId="4F935809" w:rsidR="00E56063" w:rsidRPr="00A80C59" w:rsidRDefault="00E56063" w:rsidP="00056FDD">
      <w:pPr>
        <w:spacing w:after="0"/>
        <w:jc w:val="center"/>
        <w:rPr>
          <w:b/>
        </w:rPr>
      </w:pPr>
      <w:r w:rsidRPr="00A80C59">
        <w:rPr>
          <w:b/>
        </w:rPr>
        <w:t>Additional Funding</w:t>
      </w:r>
    </w:p>
    <w:p w14:paraId="2AB7BF49" w14:textId="77777777" w:rsidR="00056FDD" w:rsidRDefault="00056FDD" w:rsidP="00E56063">
      <w:pPr>
        <w:spacing w:after="0"/>
        <w:jc w:val="both"/>
        <w:rPr>
          <w:color w:val="000000" w:themeColor="text1"/>
        </w:rPr>
      </w:pPr>
    </w:p>
    <w:p w14:paraId="09D681EA" w14:textId="66322198" w:rsidR="00E56063" w:rsidRDefault="00E56063" w:rsidP="00E56063">
      <w:pPr>
        <w:spacing w:after="0"/>
        <w:jc w:val="both"/>
        <w:rPr>
          <w:color w:val="000000" w:themeColor="text1"/>
        </w:rPr>
      </w:pPr>
      <w:r>
        <w:rPr>
          <w:color w:val="000000" w:themeColor="text1"/>
        </w:rPr>
        <w:t>Should additional funds be made available during the life of Phase 2 this appendix sets out how this additional money should be allocated.</w:t>
      </w:r>
    </w:p>
    <w:p w14:paraId="05429E31" w14:textId="77777777" w:rsidR="00E56063" w:rsidRPr="007A1F6B" w:rsidRDefault="00E56063" w:rsidP="00E56063">
      <w:pPr>
        <w:spacing w:after="0"/>
        <w:rPr>
          <w:color w:val="000000" w:themeColor="text1"/>
        </w:rPr>
      </w:pPr>
    </w:p>
    <w:p w14:paraId="67BB6968" w14:textId="77777777" w:rsidR="00E56063" w:rsidRPr="00983A42" w:rsidRDefault="00E56063" w:rsidP="00E56063">
      <w:pPr>
        <w:spacing w:after="0"/>
        <w:jc w:val="both"/>
        <w:rPr>
          <w:b/>
          <w:bCs/>
          <w:color w:val="000000" w:themeColor="text1"/>
        </w:rPr>
      </w:pPr>
      <w:r w:rsidRPr="00983A42">
        <w:rPr>
          <w:b/>
          <w:bCs/>
          <w:color w:val="000000" w:themeColor="text1"/>
        </w:rPr>
        <w:t>Priority 1</w:t>
      </w:r>
    </w:p>
    <w:p w14:paraId="1BC7B00C" w14:textId="77777777" w:rsidR="00E56063" w:rsidRDefault="00E56063" w:rsidP="00E56063">
      <w:pPr>
        <w:spacing w:after="0"/>
        <w:jc w:val="both"/>
        <w:rPr>
          <w:color w:val="000000" w:themeColor="text1"/>
        </w:rPr>
      </w:pPr>
      <w:r>
        <w:rPr>
          <w:color w:val="000000" w:themeColor="text1"/>
        </w:rPr>
        <w:t>Additional funding should be directed towards the rural and urban unclassified road network in order that we can complete all necessary works relating to this asset grouping at the earliest opportunity and to the A, B C road network in order that we can help maintain its condition and prevent future deterioration.</w:t>
      </w:r>
    </w:p>
    <w:p w14:paraId="56B97A19" w14:textId="77777777" w:rsidR="00E56063" w:rsidRDefault="00E56063" w:rsidP="00E56063">
      <w:pPr>
        <w:spacing w:after="0"/>
        <w:jc w:val="both"/>
        <w:rPr>
          <w:color w:val="000000" w:themeColor="text1"/>
        </w:rPr>
      </w:pPr>
    </w:p>
    <w:p w14:paraId="248E04B3" w14:textId="77777777" w:rsidR="00E56063" w:rsidRPr="00C85DB2" w:rsidRDefault="00E56063" w:rsidP="00E56063">
      <w:pPr>
        <w:spacing w:after="0"/>
        <w:jc w:val="both"/>
        <w:rPr>
          <w:b/>
          <w:bCs/>
          <w:color w:val="000000" w:themeColor="text1"/>
        </w:rPr>
      </w:pPr>
      <w:r w:rsidRPr="00C85DB2">
        <w:rPr>
          <w:b/>
          <w:bCs/>
          <w:color w:val="000000" w:themeColor="text1"/>
        </w:rPr>
        <w:t>Priority 2</w:t>
      </w:r>
    </w:p>
    <w:p w14:paraId="775704EA" w14:textId="77777777" w:rsidR="00E56063" w:rsidRDefault="00E56063" w:rsidP="00E56063">
      <w:pPr>
        <w:spacing w:after="0"/>
        <w:jc w:val="both"/>
        <w:rPr>
          <w:color w:val="000000" w:themeColor="text1"/>
        </w:rPr>
      </w:pPr>
      <w:r>
        <w:rPr>
          <w:color w:val="000000" w:themeColor="text1"/>
        </w:rPr>
        <w:t>Any additional funding should also be directed towards the s</w:t>
      </w:r>
      <w:r w:rsidRPr="00E45CE4">
        <w:rPr>
          <w:color w:val="000000" w:themeColor="text1"/>
        </w:rPr>
        <w:t xml:space="preserve">treet lighting and traffic signal </w:t>
      </w:r>
      <w:r>
        <w:rPr>
          <w:color w:val="000000" w:themeColor="text1"/>
        </w:rPr>
        <w:t xml:space="preserve">assets.  Both assets have experienced significant underfunding for many years which is reflected in the growing maintenance backlogs.  Where funding is provided this should be directed towards asset </w:t>
      </w:r>
      <w:r w:rsidRPr="00E45CE4">
        <w:rPr>
          <w:color w:val="000000" w:themeColor="text1"/>
        </w:rPr>
        <w:t>replacement works</w:t>
      </w:r>
      <w:r>
        <w:rPr>
          <w:color w:val="000000" w:themeColor="text1"/>
        </w:rPr>
        <w:t>.</w:t>
      </w:r>
    </w:p>
    <w:p w14:paraId="6064868F" w14:textId="77777777" w:rsidR="00E56063" w:rsidRDefault="00E56063" w:rsidP="00E56063">
      <w:pPr>
        <w:spacing w:after="0"/>
        <w:jc w:val="both"/>
        <w:rPr>
          <w:color w:val="000000" w:themeColor="text1"/>
        </w:rPr>
      </w:pPr>
    </w:p>
    <w:p w14:paraId="0B8AF80A" w14:textId="77777777" w:rsidR="00E56063" w:rsidRDefault="00E56063" w:rsidP="00E56063">
      <w:pPr>
        <w:spacing w:after="0"/>
        <w:jc w:val="both"/>
        <w:rPr>
          <w:b/>
          <w:bCs/>
          <w:color w:val="000000" w:themeColor="text1"/>
        </w:rPr>
      </w:pPr>
      <w:r w:rsidRPr="00C85DB2">
        <w:rPr>
          <w:b/>
          <w:bCs/>
          <w:color w:val="000000" w:themeColor="text1"/>
        </w:rPr>
        <w:t>Priority 3</w:t>
      </w:r>
    </w:p>
    <w:p w14:paraId="6D5A542C" w14:textId="77777777" w:rsidR="00E56063" w:rsidRDefault="00E56063" w:rsidP="00E56063">
      <w:pPr>
        <w:spacing w:after="0"/>
        <w:jc w:val="both"/>
        <w:rPr>
          <w:color w:val="000000" w:themeColor="text1"/>
        </w:rPr>
      </w:pPr>
      <w:r w:rsidRPr="00C85DB2">
        <w:rPr>
          <w:color w:val="000000" w:themeColor="text1"/>
        </w:rPr>
        <w:t xml:space="preserve">Should any monies remain </w:t>
      </w:r>
      <w:r>
        <w:rPr>
          <w:color w:val="000000" w:themeColor="text1"/>
        </w:rPr>
        <w:t>un</w:t>
      </w:r>
      <w:r w:rsidRPr="00C85DB2">
        <w:rPr>
          <w:color w:val="000000" w:themeColor="text1"/>
        </w:rPr>
        <w:t xml:space="preserve">allocated </w:t>
      </w:r>
      <w:proofErr w:type="gramStart"/>
      <w:r w:rsidRPr="00C85DB2">
        <w:rPr>
          <w:color w:val="000000" w:themeColor="text1"/>
        </w:rPr>
        <w:t>as a result of</w:t>
      </w:r>
      <w:proofErr w:type="gramEnd"/>
      <w:r w:rsidRPr="00C85DB2">
        <w:rPr>
          <w:color w:val="000000" w:themeColor="text1"/>
        </w:rPr>
        <w:t xml:space="preserve"> satisfy</w:t>
      </w:r>
      <w:r>
        <w:rPr>
          <w:color w:val="000000" w:themeColor="text1"/>
        </w:rPr>
        <w:t>ing priorities 1 and 2, this should be directed towards the br</w:t>
      </w:r>
      <w:r w:rsidRPr="00C85DB2">
        <w:rPr>
          <w:color w:val="000000" w:themeColor="text1"/>
        </w:rPr>
        <w:t>idges and similar</w:t>
      </w:r>
      <w:r w:rsidRPr="00E45CE4">
        <w:rPr>
          <w:color w:val="000000" w:themeColor="text1"/>
        </w:rPr>
        <w:t xml:space="preserve"> structures asset group to either carry out additional preventative risk-based surveys or other works as required.</w:t>
      </w:r>
    </w:p>
    <w:p w14:paraId="3D5C1332" w14:textId="77777777" w:rsidR="00E56063" w:rsidRDefault="00E56063" w:rsidP="00E56063">
      <w:pPr>
        <w:spacing w:after="0"/>
        <w:jc w:val="both"/>
        <w:rPr>
          <w:color w:val="000000" w:themeColor="text1"/>
        </w:rPr>
      </w:pPr>
    </w:p>
    <w:p w14:paraId="10593EB5" w14:textId="77777777" w:rsidR="00E56063" w:rsidRDefault="00E56063" w:rsidP="00E56063">
      <w:pPr>
        <w:spacing w:after="0"/>
        <w:jc w:val="both"/>
        <w:rPr>
          <w:color w:val="000000" w:themeColor="text1"/>
        </w:rPr>
      </w:pPr>
      <w:r>
        <w:rPr>
          <w:color w:val="000000" w:themeColor="text1"/>
        </w:rPr>
        <w:t xml:space="preserve">Should </w:t>
      </w:r>
      <w:r w:rsidRPr="00C85DB2">
        <w:rPr>
          <w:color w:val="000000" w:themeColor="text1"/>
        </w:rPr>
        <w:t xml:space="preserve">any monies remain </w:t>
      </w:r>
      <w:r>
        <w:rPr>
          <w:color w:val="000000" w:themeColor="text1"/>
        </w:rPr>
        <w:t>un</w:t>
      </w:r>
      <w:r w:rsidRPr="00C85DB2">
        <w:rPr>
          <w:color w:val="000000" w:themeColor="text1"/>
        </w:rPr>
        <w:t>allocated as a result of satisfy</w:t>
      </w:r>
      <w:r>
        <w:rPr>
          <w:color w:val="000000" w:themeColor="text1"/>
        </w:rPr>
        <w:t>ing priorities 1, 2 &amp; 3, any remaining funds to be allocated by the Director of Strategy and Performance (or their successor) in consultation with the Cabinet Member for Highways and Transport for TAMP related activities.</w:t>
      </w:r>
    </w:p>
    <w:p w14:paraId="4AC75B8D" w14:textId="77777777" w:rsidR="00E56063" w:rsidRDefault="00E56063" w:rsidP="00E56063">
      <w:pPr>
        <w:spacing w:after="0"/>
        <w:jc w:val="both"/>
        <w:rPr>
          <w:color w:val="000000" w:themeColor="text1"/>
        </w:rPr>
      </w:pPr>
    </w:p>
    <w:p w14:paraId="5D101A18" w14:textId="77777777" w:rsidR="00E56063" w:rsidRDefault="00E56063" w:rsidP="00E56063">
      <w:pPr>
        <w:spacing w:after="0"/>
        <w:jc w:val="both"/>
        <w:rPr>
          <w:color w:val="000000" w:themeColor="text1"/>
        </w:rPr>
      </w:pPr>
    </w:p>
    <w:p w14:paraId="4DC5FDCF" w14:textId="77777777" w:rsidR="00E56063" w:rsidRDefault="00E56063" w:rsidP="00E56063">
      <w:pPr>
        <w:spacing w:after="0"/>
        <w:jc w:val="both"/>
        <w:rPr>
          <w:color w:val="000000" w:themeColor="text1"/>
        </w:rPr>
      </w:pPr>
    </w:p>
    <w:p w14:paraId="3FA6C80A" w14:textId="77777777" w:rsidR="00E56063" w:rsidRDefault="00E56063" w:rsidP="00E56063">
      <w:pPr>
        <w:spacing w:after="0"/>
        <w:jc w:val="both"/>
        <w:rPr>
          <w:color w:val="000000" w:themeColor="text1"/>
        </w:rPr>
      </w:pPr>
    </w:p>
    <w:p w14:paraId="7C54F94D" w14:textId="77777777" w:rsidR="00E56063" w:rsidRDefault="00E56063" w:rsidP="00E56063">
      <w:pPr>
        <w:spacing w:after="0"/>
        <w:jc w:val="both"/>
        <w:rPr>
          <w:color w:val="000000" w:themeColor="text1"/>
        </w:rPr>
      </w:pPr>
    </w:p>
    <w:p w14:paraId="63434950" w14:textId="77777777" w:rsidR="002F5C0D" w:rsidRPr="002F5C0D" w:rsidRDefault="002F5C0D" w:rsidP="001528C9">
      <w:pPr>
        <w:spacing w:after="0"/>
        <w:jc w:val="right"/>
        <w:rPr>
          <w:rFonts w:cs="Arial"/>
          <w:color w:val="000000" w:themeColor="text1"/>
        </w:rPr>
      </w:pPr>
    </w:p>
    <w:p w14:paraId="68080CD3" w14:textId="212C2547" w:rsidR="00E56063" w:rsidRDefault="00E56063" w:rsidP="00E56063">
      <w:pPr>
        <w:spacing w:after="0"/>
        <w:ind w:left="12960"/>
        <w:jc w:val="both"/>
        <w:rPr>
          <w:rFonts w:cs="Arial"/>
          <w:b/>
          <w:bCs/>
          <w:color w:val="000000" w:themeColor="text1"/>
          <w:szCs w:val="24"/>
        </w:rPr>
      </w:pPr>
      <w:r w:rsidRPr="00E56063">
        <w:rPr>
          <w:rFonts w:cs="Arial"/>
          <w:b/>
          <w:bCs/>
          <w:color w:val="000000" w:themeColor="text1"/>
          <w:szCs w:val="24"/>
        </w:rPr>
        <w:lastRenderedPageBreak/>
        <w:t>Appendix 4</w:t>
      </w:r>
    </w:p>
    <w:p w14:paraId="359ECE90" w14:textId="286745E0" w:rsidR="00056FDD" w:rsidRDefault="00056FDD" w:rsidP="00E56063">
      <w:pPr>
        <w:spacing w:after="0"/>
        <w:ind w:left="12960"/>
        <w:jc w:val="both"/>
        <w:rPr>
          <w:rFonts w:cs="Arial"/>
          <w:b/>
          <w:bCs/>
          <w:color w:val="000000" w:themeColor="text1"/>
          <w:szCs w:val="24"/>
        </w:rPr>
      </w:pPr>
    </w:p>
    <w:p w14:paraId="1CF07ADE" w14:textId="56EBCFF3" w:rsidR="00056FDD" w:rsidRDefault="00056FDD" w:rsidP="00056FDD">
      <w:pPr>
        <w:spacing w:after="0"/>
        <w:jc w:val="center"/>
        <w:rPr>
          <w:rFonts w:cs="Arial"/>
          <w:b/>
          <w:bCs/>
          <w:color w:val="000000" w:themeColor="text1"/>
          <w:szCs w:val="24"/>
        </w:rPr>
      </w:pPr>
      <w:r>
        <w:rPr>
          <w:rFonts w:cs="Arial"/>
          <w:b/>
          <w:bCs/>
          <w:color w:val="000000" w:themeColor="text1"/>
          <w:szCs w:val="24"/>
        </w:rPr>
        <w:t>Phase Two – Service Standards by Asset Type</w:t>
      </w:r>
    </w:p>
    <w:p w14:paraId="7B6C9C9E" w14:textId="77777777" w:rsidR="00056FDD" w:rsidRPr="00E56063" w:rsidRDefault="00056FDD" w:rsidP="00056FDD">
      <w:pPr>
        <w:spacing w:after="0"/>
        <w:jc w:val="both"/>
        <w:rPr>
          <w:rFonts w:cs="Arial"/>
          <w:b/>
          <w:bCs/>
          <w:color w:val="000000" w:themeColor="text1"/>
          <w:szCs w:val="24"/>
        </w:rPr>
      </w:pPr>
    </w:p>
    <w:p w14:paraId="27606079" w14:textId="6E0C9BF3" w:rsidR="009F12CE" w:rsidRPr="008728DD" w:rsidRDefault="009F12CE" w:rsidP="009F12CE">
      <w:pPr>
        <w:spacing w:after="0"/>
        <w:jc w:val="both"/>
        <w:rPr>
          <w:rFonts w:cs="Arial"/>
          <w:color w:val="000000" w:themeColor="text1"/>
          <w:szCs w:val="24"/>
        </w:rPr>
      </w:pPr>
      <w:r w:rsidRPr="008728DD">
        <w:rPr>
          <w:rFonts w:cs="Arial"/>
          <w:color w:val="000000" w:themeColor="text1"/>
          <w:szCs w:val="24"/>
        </w:rPr>
        <w:t>The table</w:t>
      </w:r>
      <w:r w:rsidR="008728DD">
        <w:rPr>
          <w:rFonts w:cs="Arial"/>
          <w:color w:val="000000" w:themeColor="text1"/>
          <w:szCs w:val="24"/>
        </w:rPr>
        <w:t>s</w:t>
      </w:r>
      <w:r w:rsidRPr="008728DD">
        <w:rPr>
          <w:rFonts w:cs="Arial"/>
          <w:color w:val="000000" w:themeColor="text1"/>
          <w:szCs w:val="24"/>
        </w:rPr>
        <w:t xml:space="preserve"> below set out the </w:t>
      </w:r>
      <w:r w:rsidR="008728DD">
        <w:rPr>
          <w:rFonts w:cs="Arial"/>
          <w:color w:val="000000" w:themeColor="text1"/>
          <w:szCs w:val="24"/>
        </w:rPr>
        <w:t xml:space="preserve">end of TAMP Phase 2 </w:t>
      </w:r>
      <w:r w:rsidRPr="008728DD">
        <w:rPr>
          <w:rFonts w:cs="Arial"/>
          <w:color w:val="000000" w:themeColor="text1"/>
          <w:szCs w:val="24"/>
        </w:rPr>
        <w:t>Service Standards</w:t>
      </w:r>
      <w:r w:rsidR="001528C9" w:rsidRPr="008728DD">
        <w:rPr>
          <w:rFonts w:cs="Arial"/>
          <w:color w:val="000000" w:themeColor="text1"/>
          <w:szCs w:val="24"/>
        </w:rPr>
        <w:t xml:space="preserve"> </w:t>
      </w:r>
      <w:r w:rsidR="008728DD">
        <w:rPr>
          <w:rFonts w:cs="Arial"/>
          <w:color w:val="000000" w:themeColor="text1"/>
          <w:szCs w:val="24"/>
        </w:rPr>
        <w:t xml:space="preserve">covering the period 2020/21 to 2024/25 together with the </w:t>
      </w:r>
      <w:r w:rsidR="001528C9" w:rsidRPr="008728DD">
        <w:rPr>
          <w:rFonts w:cs="Arial"/>
          <w:color w:val="000000" w:themeColor="text1"/>
          <w:szCs w:val="24"/>
        </w:rPr>
        <w:t>March 2020</w:t>
      </w:r>
      <w:r w:rsidRPr="008728DD">
        <w:rPr>
          <w:rFonts w:cs="Arial"/>
          <w:color w:val="000000" w:themeColor="text1"/>
          <w:szCs w:val="24"/>
        </w:rPr>
        <w:t xml:space="preserve"> baseline condition data</w:t>
      </w:r>
      <w:r w:rsidR="008728DD">
        <w:rPr>
          <w:rFonts w:cs="Arial"/>
          <w:color w:val="000000" w:themeColor="text1"/>
          <w:szCs w:val="24"/>
        </w:rPr>
        <w:t>, for all assets covered by the TAMP.</w:t>
      </w:r>
    </w:p>
    <w:p w14:paraId="3761D6B4" w14:textId="77777777" w:rsidR="009F12CE" w:rsidRPr="008728DD" w:rsidRDefault="009F12CE" w:rsidP="009F12CE">
      <w:pPr>
        <w:spacing w:after="0"/>
        <w:jc w:val="both"/>
        <w:rPr>
          <w:rFonts w:cs="Arial"/>
          <w:color w:val="000000" w:themeColor="text1"/>
          <w:szCs w:val="24"/>
        </w:rPr>
      </w:pPr>
    </w:p>
    <w:p w14:paraId="14DF5619" w14:textId="2AF7FEA3" w:rsidR="008728DD" w:rsidRDefault="008728DD" w:rsidP="009F12CE">
      <w:pPr>
        <w:spacing w:after="0"/>
        <w:jc w:val="both"/>
        <w:rPr>
          <w:rFonts w:cs="Arial"/>
          <w:color w:val="000000" w:themeColor="text1"/>
          <w:sz w:val="22"/>
        </w:rPr>
      </w:pPr>
      <w:r>
        <w:rPr>
          <w:b/>
        </w:rPr>
        <w:t xml:space="preserve">A, B, C Road Standards 2020/21 – 2024/25 </w:t>
      </w:r>
    </w:p>
    <w:p w14:paraId="54B183A6" w14:textId="77777777" w:rsidR="008728DD" w:rsidRDefault="008728DD" w:rsidP="009F12CE">
      <w:pPr>
        <w:spacing w:after="0"/>
        <w:jc w:val="both"/>
        <w:rPr>
          <w:rFonts w:cs="Arial"/>
          <w:color w:val="000000" w:themeColor="text1"/>
          <w:sz w:val="22"/>
        </w:rPr>
      </w:pPr>
    </w:p>
    <w:tbl>
      <w:tblPr>
        <w:tblStyle w:val="TableGrid"/>
        <w:tblW w:w="13819" w:type="dxa"/>
        <w:tblInd w:w="108" w:type="dxa"/>
        <w:tblLayout w:type="fixed"/>
        <w:tblLook w:val="04A0" w:firstRow="1" w:lastRow="0" w:firstColumn="1" w:lastColumn="0" w:noHBand="0" w:noVBand="1"/>
      </w:tblPr>
      <w:tblGrid>
        <w:gridCol w:w="1022"/>
        <w:gridCol w:w="1134"/>
        <w:gridCol w:w="1134"/>
        <w:gridCol w:w="1474"/>
        <w:gridCol w:w="1474"/>
        <w:gridCol w:w="1474"/>
        <w:gridCol w:w="1276"/>
        <w:gridCol w:w="1276"/>
        <w:gridCol w:w="1474"/>
        <w:gridCol w:w="2081"/>
      </w:tblGrid>
      <w:tr w:rsidR="008728DD" w14:paraId="5CEB6193" w14:textId="77777777" w:rsidTr="00A7577D">
        <w:trPr>
          <w:trHeight w:val="533"/>
        </w:trPr>
        <w:tc>
          <w:tcPr>
            <w:tcW w:w="1022" w:type="dxa"/>
            <w:vMerge w:val="restart"/>
            <w:tcBorders>
              <w:top w:val="single" w:sz="2" w:space="0" w:color="auto"/>
              <w:left w:val="single" w:sz="2" w:space="0" w:color="auto"/>
              <w:right w:val="single" w:sz="2" w:space="0" w:color="auto"/>
            </w:tcBorders>
            <w:shd w:val="clear" w:color="auto" w:fill="auto"/>
            <w:vAlign w:val="center"/>
          </w:tcPr>
          <w:p w14:paraId="754E9AA0" w14:textId="77777777" w:rsidR="008728DD" w:rsidRPr="00E1340F" w:rsidRDefault="008728DD" w:rsidP="00A7577D">
            <w:pPr>
              <w:jc w:val="center"/>
              <w:rPr>
                <w:rFonts w:cs="Arial"/>
                <w:b/>
                <w:color w:val="000000" w:themeColor="text1"/>
                <w:sz w:val="18"/>
                <w:szCs w:val="18"/>
              </w:rPr>
            </w:pPr>
            <w:r>
              <w:rPr>
                <w:rFonts w:cs="Arial"/>
                <w:b/>
                <w:color w:val="000000" w:themeColor="text1"/>
                <w:sz w:val="18"/>
                <w:szCs w:val="18"/>
              </w:rPr>
              <w:t>Asset Category</w:t>
            </w:r>
          </w:p>
        </w:tc>
        <w:tc>
          <w:tcPr>
            <w:tcW w:w="1134" w:type="dxa"/>
            <w:vMerge w:val="restart"/>
            <w:tcBorders>
              <w:top w:val="single" w:sz="2" w:space="0" w:color="auto"/>
              <w:left w:val="single" w:sz="2" w:space="0" w:color="auto"/>
              <w:right w:val="single" w:sz="2" w:space="0" w:color="auto"/>
            </w:tcBorders>
            <w:shd w:val="clear" w:color="auto" w:fill="auto"/>
            <w:vAlign w:val="center"/>
          </w:tcPr>
          <w:p w14:paraId="638EF04C" w14:textId="77777777" w:rsidR="008728DD" w:rsidRDefault="008728DD" w:rsidP="00A7577D">
            <w:pPr>
              <w:jc w:val="center"/>
              <w:rPr>
                <w:rFonts w:cs="Arial"/>
                <w:b/>
                <w:color w:val="000000" w:themeColor="text1"/>
                <w:sz w:val="18"/>
                <w:szCs w:val="18"/>
              </w:rPr>
            </w:pPr>
            <w:r>
              <w:rPr>
                <w:rFonts w:cs="Arial"/>
                <w:b/>
                <w:color w:val="000000" w:themeColor="text1"/>
                <w:sz w:val="18"/>
                <w:szCs w:val="18"/>
              </w:rPr>
              <w:t xml:space="preserve">Condition </w:t>
            </w:r>
            <w:r w:rsidRPr="00E1340F">
              <w:rPr>
                <w:rFonts w:cs="Arial"/>
                <w:b/>
                <w:color w:val="000000" w:themeColor="text1"/>
                <w:sz w:val="18"/>
                <w:szCs w:val="18"/>
              </w:rPr>
              <w:t>Measure</w:t>
            </w:r>
          </w:p>
          <w:p w14:paraId="7DA57D54" w14:textId="77777777" w:rsidR="008728DD" w:rsidRPr="00E1340F" w:rsidRDefault="008728DD" w:rsidP="00A7577D">
            <w:pPr>
              <w:jc w:val="center"/>
              <w:rPr>
                <w:rFonts w:cs="Arial"/>
                <w:b/>
                <w:color w:val="000000" w:themeColor="text1"/>
                <w:sz w:val="18"/>
                <w:szCs w:val="18"/>
              </w:rPr>
            </w:pPr>
            <w:r>
              <w:rPr>
                <w:rFonts w:cs="Arial"/>
                <w:b/>
                <w:color w:val="000000" w:themeColor="text1"/>
                <w:sz w:val="18"/>
                <w:szCs w:val="18"/>
              </w:rPr>
              <w:t>(SCANNER)</w:t>
            </w:r>
          </w:p>
        </w:tc>
        <w:tc>
          <w:tcPr>
            <w:tcW w:w="683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0C60B08" w14:textId="4C5635F2" w:rsidR="008728DD" w:rsidRPr="00E44424" w:rsidRDefault="0033461B" w:rsidP="00A7577D">
            <w:pPr>
              <w:jc w:val="center"/>
              <w:rPr>
                <w:rFonts w:cs="Arial"/>
                <w:b/>
                <w:color w:val="000000" w:themeColor="text1"/>
                <w:sz w:val="20"/>
                <w:szCs w:val="20"/>
              </w:rPr>
            </w:pPr>
            <w:r>
              <w:rPr>
                <w:rFonts w:cs="Arial"/>
                <w:b/>
                <w:color w:val="000000" w:themeColor="text1"/>
                <w:sz w:val="20"/>
                <w:szCs w:val="20"/>
              </w:rPr>
              <w:t xml:space="preserve">LCC </w:t>
            </w:r>
            <w:r w:rsidR="008728DD" w:rsidRPr="00E44424">
              <w:rPr>
                <w:rFonts w:cs="Arial"/>
                <w:b/>
                <w:color w:val="000000" w:themeColor="text1"/>
                <w:sz w:val="20"/>
                <w:szCs w:val="20"/>
              </w:rPr>
              <w:t>Service Standards</w:t>
            </w:r>
            <w:r w:rsidR="008728DD">
              <w:rPr>
                <w:rFonts w:cs="Arial"/>
                <w:b/>
                <w:color w:val="000000" w:themeColor="text1"/>
                <w:sz w:val="20"/>
                <w:szCs w:val="20"/>
              </w:rPr>
              <w:t>: Based on APSE\DMG 19/20 Shire Council Benchmarking data</w:t>
            </w:r>
          </w:p>
        </w:tc>
        <w:tc>
          <w:tcPr>
            <w:tcW w:w="483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A21423"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Asset Condition</w:t>
            </w:r>
          </w:p>
        </w:tc>
      </w:tr>
      <w:tr w:rsidR="008728DD" w14:paraId="23869DC0" w14:textId="77777777" w:rsidTr="00A7577D">
        <w:trPr>
          <w:trHeight w:val="357"/>
        </w:trPr>
        <w:tc>
          <w:tcPr>
            <w:tcW w:w="1022" w:type="dxa"/>
            <w:vMerge/>
            <w:tcBorders>
              <w:left w:val="single" w:sz="2" w:space="0" w:color="auto"/>
              <w:right w:val="single" w:sz="2" w:space="0" w:color="auto"/>
            </w:tcBorders>
            <w:shd w:val="clear" w:color="auto" w:fill="auto"/>
            <w:vAlign w:val="center"/>
          </w:tcPr>
          <w:p w14:paraId="4D0B1C98" w14:textId="77777777" w:rsidR="008728DD" w:rsidRPr="00E1340F" w:rsidRDefault="008728DD" w:rsidP="00A7577D">
            <w:pPr>
              <w:jc w:val="center"/>
              <w:rPr>
                <w:rFonts w:cs="Arial"/>
                <w:b/>
                <w:color w:val="000000" w:themeColor="text1"/>
                <w:sz w:val="18"/>
                <w:szCs w:val="18"/>
              </w:rPr>
            </w:pPr>
          </w:p>
        </w:tc>
        <w:tc>
          <w:tcPr>
            <w:tcW w:w="1134" w:type="dxa"/>
            <w:vMerge/>
            <w:tcBorders>
              <w:left w:val="single" w:sz="2" w:space="0" w:color="auto"/>
              <w:right w:val="single" w:sz="2" w:space="0" w:color="auto"/>
            </w:tcBorders>
            <w:shd w:val="clear" w:color="auto" w:fill="auto"/>
            <w:vAlign w:val="center"/>
          </w:tcPr>
          <w:p w14:paraId="3E54C50A" w14:textId="77777777" w:rsidR="008728DD" w:rsidRPr="00E1340F" w:rsidRDefault="008728DD" w:rsidP="00A7577D">
            <w:pPr>
              <w:jc w:val="center"/>
              <w:rPr>
                <w:rFonts w:cs="Arial"/>
                <w:b/>
                <w:color w:val="000000" w:themeColor="text1"/>
                <w:sz w:val="18"/>
                <w:szCs w:val="18"/>
              </w:rPr>
            </w:pPr>
          </w:p>
        </w:tc>
        <w:tc>
          <w:tcPr>
            <w:tcW w:w="1134" w:type="dxa"/>
            <w:vMerge w:val="restart"/>
            <w:tcBorders>
              <w:top w:val="single" w:sz="2" w:space="0" w:color="auto"/>
              <w:left w:val="single" w:sz="2" w:space="0" w:color="auto"/>
              <w:right w:val="single" w:sz="2" w:space="0" w:color="auto"/>
            </w:tcBorders>
            <w:shd w:val="clear" w:color="auto" w:fill="FF0000"/>
            <w:vAlign w:val="center"/>
          </w:tcPr>
          <w:p w14:paraId="5517F7F5"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POOR</w:t>
            </w:r>
          </w:p>
          <w:p w14:paraId="13905E5A"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(Quartile 4)</w:t>
            </w:r>
          </w:p>
        </w:tc>
        <w:tc>
          <w:tcPr>
            <w:tcW w:w="1474" w:type="dxa"/>
            <w:vMerge w:val="restart"/>
            <w:tcBorders>
              <w:top w:val="single" w:sz="2" w:space="0" w:color="auto"/>
              <w:left w:val="single" w:sz="2" w:space="0" w:color="auto"/>
              <w:right w:val="single" w:sz="2" w:space="0" w:color="auto"/>
            </w:tcBorders>
            <w:shd w:val="clear" w:color="auto" w:fill="FFC000"/>
            <w:vAlign w:val="center"/>
          </w:tcPr>
          <w:p w14:paraId="24806F33" w14:textId="77777777" w:rsidR="008728DD" w:rsidRPr="008B11BA" w:rsidRDefault="008728DD" w:rsidP="00A7577D">
            <w:pPr>
              <w:jc w:val="center"/>
              <w:rPr>
                <w:rFonts w:cs="Arial"/>
                <w:b/>
                <w:color w:val="000000" w:themeColor="text1"/>
                <w:sz w:val="18"/>
                <w:szCs w:val="18"/>
                <w:shd w:val="clear" w:color="auto" w:fill="FFC000"/>
              </w:rPr>
            </w:pPr>
            <w:r w:rsidRPr="008B11BA">
              <w:rPr>
                <w:rFonts w:cs="Arial"/>
                <w:b/>
                <w:color w:val="000000" w:themeColor="text1"/>
                <w:sz w:val="18"/>
                <w:szCs w:val="18"/>
              </w:rPr>
              <w:t>A</w:t>
            </w:r>
            <w:r w:rsidRPr="008B11BA">
              <w:rPr>
                <w:rFonts w:cs="Arial"/>
                <w:b/>
                <w:color w:val="000000" w:themeColor="text1"/>
                <w:sz w:val="18"/>
                <w:szCs w:val="18"/>
                <w:shd w:val="clear" w:color="auto" w:fill="FFC000"/>
              </w:rPr>
              <w:t>CCEPTABLE</w:t>
            </w:r>
          </w:p>
          <w:p w14:paraId="6E36BC75"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shd w:val="clear" w:color="auto" w:fill="FFC000"/>
              </w:rPr>
              <w:t>(Quartile 3)</w:t>
            </w:r>
          </w:p>
        </w:tc>
        <w:tc>
          <w:tcPr>
            <w:tcW w:w="1474" w:type="dxa"/>
            <w:vMerge w:val="restart"/>
            <w:tcBorders>
              <w:top w:val="single" w:sz="2" w:space="0" w:color="auto"/>
              <w:left w:val="single" w:sz="2" w:space="0" w:color="auto"/>
              <w:right w:val="single" w:sz="2" w:space="0" w:color="auto"/>
            </w:tcBorders>
            <w:shd w:val="clear" w:color="auto" w:fill="FFFF00"/>
            <w:vAlign w:val="center"/>
          </w:tcPr>
          <w:p w14:paraId="44E8D8E7"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FAIR</w:t>
            </w:r>
          </w:p>
          <w:p w14:paraId="33D5EE42"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(Quartile 2)</w:t>
            </w:r>
          </w:p>
        </w:tc>
        <w:tc>
          <w:tcPr>
            <w:tcW w:w="1474" w:type="dxa"/>
            <w:vMerge w:val="restart"/>
            <w:tcBorders>
              <w:top w:val="single" w:sz="2" w:space="0" w:color="auto"/>
              <w:left w:val="single" w:sz="2" w:space="0" w:color="auto"/>
              <w:right w:val="single" w:sz="2" w:space="0" w:color="auto"/>
            </w:tcBorders>
            <w:shd w:val="clear" w:color="auto" w:fill="92D050"/>
            <w:vAlign w:val="center"/>
          </w:tcPr>
          <w:p w14:paraId="312239BC"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GOOD</w:t>
            </w:r>
          </w:p>
          <w:p w14:paraId="090DC062"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(Quartile 1)</w:t>
            </w:r>
          </w:p>
        </w:tc>
        <w:tc>
          <w:tcPr>
            <w:tcW w:w="1276" w:type="dxa"/>
            <w:vMerge w:val="restart"/>
            <w:tcBorders>
              <w:top w:val="single" w:sz="2" w:space="0" w:color="auto"/>
              <w:left w:val="single" w:sz="2" w:space="0" w:color="auto"/>
              <w:right w:val="single" w:sz="2" w:space="0" w:color="auto"/>
            </w:tcBorders>
            <w:shd w:val="clear" w:color="auto" w:fill="00B050"/>
            <w:vAlign w:val="center"/>
          </w:tcPr>
          <w:p w14:paraId="6F9A3655"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EXCELLENT</w:t>
            </w:r>
          </w:p>
          <w:p w14:paraId="0A2346B4"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(top 10 Percentile)</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65C298E" w14:textId="77777777" w:rsidR="008728DD" w:rsidRPr="00395004" w:rsidRDefault="008728DD" w:rsidP="00A7577D">
            <w:pPr>
              <w:jc w:val="center"/>
              <w:rPr>
                <w:rFonts w:cs="Arial"/>
                <w:b/>
                <w:color w:val="000000" w:themeColor="text1"/>
                <w:sz w:val="18"/>
                <w:szCs w:val="18"/>
              </w:rPr>
            </w:pPr>
            <w:r w:rsidRPr="00395004">
              <w:rPr>
                <w:rFonts w:cs="Arial"/>
                <w:b/>
                <w:color w:val="000000" w:themeColor="text1"/>
                <w:sz w:val="18"/>
                <w:szCs w:val="18"/>
              </w:rPr>
              <w:t>2019/20</w:t>
            </w:r>
          </w:p>
        </w:tc>
        <w:tc>
          <w:tcPr>
            <w:tcW w:w="3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B2EEFA"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2024/25 End Year 5 - Target</w:t>
            </w:r>
          </w:p>
        </w:tc>
      </w:tr>
      <w:tr w:rsidR="008728DD" w14:paraId="2BC1FBA8" w14:textId="77777777" w:rsidTr="00A7577D">
        <w:trPr>
          <w:trHeight w:val="356"/>
        </w:trPr>
        <w:tc>
          <w:tcPr>
            <w:tcW w:w="1022" w:type="dxa"/>
            <w:vMerge/>
            <w:tcBorders>
              <w:left w:val="single" w:sz="2" w:space="0" w:color="auto"/>
              <w:bottom w:val="single" w:sz="12" w:space="0" w:color="auto"/>
              <w:right w:val="single" w:sz="2" w:space="0" w:color="auto"/>
            </w:tcBorders>
            <w:shd w:val="clear" w:color="auto" w:fill="auto"/>
            <w:vAlign w:val="center"/>
          </w:tcPr>
          <w:p w14:paraId="7E5E99AD" w14:textId="77777777" w:rsidR="008728DD" w:rsidRPr="00E1340F" w:rsidRDefault="008728DD" w:rsidP="00A7577D">
            <w:pPr>
              <w:jc w:val="center"/>
              <w:rPr>
                <w:rFonts w:cs="Arial"/>
                <w:b/>
                <w:color w:val="000000" w:themeColor="text1"/>
                <w:sz w:val="18"/>
                <w:szCs w:val="18"/>
              </w:rPr>
            </w:pPr>
          </w:p>
        </w:tc>
        <w:tc>
          <w:tcPr>
            <w:tcW w:w="1134" w:type="dxa"/>
            <w:vMerge/>
            <w:tcBorders>
              <w:left w:val="single" w:sz="2" w:space="0" w:color="auto"/>
              <w:bottom w:val="single" w:sz="12" w:space="0" w:color="auto"/>
              <w:right w:val="single" w:sz="2" w:space="0" w:color="auto"/>
            </w:tcBorders>
            <w:shd w:val="clear" w:color="auto" w:fill="auto"/>
            <w:vAlign w:val="center"/>
          </w:tcPr>
          <w:p w14:paraId="0E3A7444" w14:textId="77777777" w:rsidR="008728DD" w:rsidRPr="00E1340F" w:rsidRDefault="008728DD" w:rsidP="00A7577D">
            <w:pPr>
              <w:jc w:val="center"/>
              <w:rPr>
                <w:rFonts w:cs="Arial"/>
                <w:color w:val="000000" w:themeColor="text1"/>
                <w:sz w:val="18"/>
                <w:szCs w:val="18"/>
              </w:rPr>
            </w:pPr>
          </w:p>
        </w:tc>
        <w:tc>
          <w:tcPr>
            <w:tcW w:w="1134" w:type="dxa"/>
            <w:vMerge/>
            <w:tcBorders>
              <w:left w:val="single" w:sz="2" w:space="0" w:color="auto"/>
              <w:bottom w:val="single" w:sz="12" w:space="0" w:color="auto"/>
              <w:right w:val="single" w:sz="2" w:space="0" w:color="auto"/>
            </w:tcBorders>
            <w:shd w:val="clear" w:color="auto" w:fill="FF0000"/>
            <w:vAlign w:val="center"/>
          </w:tcPr>
          <w:p w14:paraId="738B1643" w14:textId="77777777" w:rsidR="008728DD" w:rsidRPr="008B11BA" w:rsidRDefault="008728DD" w:rsidP="00A7577D">
            <w:pPr>
              <w:jc w:val="center"/>
              <w:rPr>
                <w:rFonts w:cs="Arial"/>
                <w:b/>
                <w:color w:val="FFFFFF" w:themeColor="background1"/>
                <w:sz w:val="18"/>
                <w:szCs w:val="18"/>
              </w:rPr>
            </w:pPr>
          </w:p>
        </w:tc>
        <w:tc>
          <w:tcPr>
            <w:tcW w:w="1474" w:type="dxa"/>
            <w:vMerge/>
            <w:tcBorders>
              <w:left w:val="single" w:sz="2" w:space="0" w:color="auto"/>
              <w:bottom w:val="single" w:sz="12" w:space="0" w:color="auto"/>
              <w:right w:val="single" w:sz="2" w:space="0" w:color="auto"/>
            </w:tcBorders>
            <w:shd w:val="clear" w:color="auto" w:fill="FFC000"/>
            <w:vAlign w:val="center"/>
          </w:tcPr>
          <w:p w14:paraId="39E20612" w14:textId="77777777" w:rsidR="008728DD" w:rsidRPr="008B11BA" w:rsidRDefault="008728DD" w:rsidP="00A7577D">
            <w:pPr>
              <w:jc w:val="center"/>
              <w:rPr>
                <w:rFonts w:cs="Arial"/>
                <w:color w:val="000000" w:themeColor="text1"/>
                <w:sz w:val="18"/>
                <w:szCs w:val="18"/>
              </w:rPr>
            </w:pPr>
          </w:p>
        </w:tc>
        <w:tc>
          <w:tcPr>
            <w:tcW w:w="1474" w:type="dxa"/>
            <w:vMerge/>
            <w:tcBorders>
              <w:left w:val="single" w:sz="2" w:space="0" w:color="auto"/>
              <w:bottom w:val="single" w:sz="12" w:space="0" w:color="auto"/>
              <w:right w:val="single" w:sz="2" w:space="0" w:color="auto"/>
            </w:tcBorders>
            <w:shd w:val="clear" w:color="auto" w:fill="FFFF00"/>
            <w:vAlign w:val="center"/>
          </w:tcPr>
          <w:p w14:paraId="2F0FB296" w14:textId="77777777" w:rsidR="008728DD" w:rsidRPr="008B11BA" w:rsidRDefault="008728DD" w:rsidP="00A7577D">
            <w:pPr>
              <w:jc w:val="center"/>
              <w:rPr>
                <w:rFonts w:cs="Arial"/>
                <w:color w:val="000000" w:themeColor="text1"/>
                <w:sz w:val="18"/>
                <w:szCs w:val="18"/>
              </w:rPr>
            </w:pPr>
          </w:p>
        </w:tc>
        <w:tc>
          <w:tcPr>
            <w:tcW w:w="1474" w:type="dxa"/>
            <w:vMerge/>
            <w:tcBorders>
              <w:left w:val="single" w:sz="2" w:space="0" w:color="auto"/>
              <w:bottom w:val="single" w:sz="12" w:space="0" w:color="auto"/>
              <w:right w:val="single" w:sz="2" w:space="0" w:color="auto"/>
            </w:tcBorders>
            <w:shd w:val="clear" w:color="auto" w:fill="92D050"/>
            <w:vAlign w:val="center"/>
          </w:tcPr>
          <w:p w14:paraId="0842FA5D" w14:textId="77777777" w:rsidR="008728DD" w:rsidRPr="008B11BA" w:rsidRDefault="008728DD" w:rsidP="00A7577D">
            <w:pPr>
              <w:jc w:val="center"/>
              <w:rPr>
                <w:rFonts w:cs="Arial"/>
                <w:color w:val="000000" w:themeColor="text1"/>
                <w:sz w:val="18"/>
                <w:szCs w:val="18"/>
              </w:rPr>
            </w:pPr>
          </w:p>
        </w:tc>
        <w:tc>
          <w:tcPr>
            <w:tcW w:w="1276" w:type="dxa"/>
            <w:vMerge/>
            <w:tcBorders>
              <w:left w:val="single" w:sz="2" w:space="0" w:color="auto"/>
              <w:bottom w:val="single" w:sz="12" w:space="0" w:color="auto"/>
              <w:right w:val="single" w:sz="2" w:space="0" w:color="auto"/>
            </w:tcBorders>
            <w:shd w:val="clear" w:color="auto" w:fill="00B050"/>
            <w:vAlign w:val="center"/>
          </w:tcPr>
          <w:p w14:paraId="0C8B7B69" w14:textId="77777777" w:rsidR="008728DD" w:rsidRPr="008B11BA" w:rsidRDefault="008728DD" w:rsidP="00A7577D">
            <w:pPr>
              <w:jc w:val="center"/>
              <w:rPr>
                <w:rFonts w:cs="Arial"/>
                <w:color w:val="000000" w:themeColor="text1"/>
                <w:sz w:val="18"/>
                <w:szCs w:val="18"/>
              </w:rPr>
            </w:pPr>
          </w:p>
        </w:tc>
        <w:tc>
          <w:tcPr>
            <w:tcW w:w="1276" w:type="dxa"/>
            <w:tcBorders>
              <w:top w:val="single" w:sz="2" w:space="0" w:color="auto"/>
              <w:left w:val="single" w:sz="2" w:space="0" w:color="auto"/>
              <w:bottom w:val="single" w:sz="12" w:space="0" w:color="auto"/>
              <w:right w:val="single" w:sz="2" w:space="0" w:color="auto"/>
            </w:tcBorders>
            <w:shd w:val="clear" w:color="auto" w:fill="auto"/>
            <w:vAlign w:val="center"/>
          </w:tcPr>
          <w:p w14:paraId="5E0A1268"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Base</w:t>
            </w:r>
          </w:p>
        </w:tc>
        <w:tc>
          <w:tcPr>
            <w:tcW w:w="1474" w:type="dxa"/>
            <w:tcBorders>
              <w:top w:val="single" w:sz="2" w:space="0" w:color="auto"/>
              <w:left w:val="single" w:sz="2" w:space="0" w:color="auto"/>
              <w:bottom w:val="single" w:sz="12" w:space="0" w:color="auto"/>
              <w:right w:val="single" w:sz="2" w:space="0" w:color="auto"/>
            </w:tcBorders>
            <w:shd w:val="clear" w:color="auto" w:fill="auto"/>
            <w:vAlign w:val="center"/>
          </w:tcPr>
          <w:p w14:paraId="43710084"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Current Funding Levels</w:t>
            </w:r>
          </w:p>
        </w:tc>
        <w:tc>
          <w:tcPr>
            <w:tcW w:w="2081" w:type="dxa"/>
            <w:tcBorders>
              <w:top w:val="single" w:sz="2" w:space="0" w:color="auto"/>
              <w:left w:val="single" w:sz="2" w:space="0" w:color="auto"/>
              <w:bottom w:val="single" w:sz="12" w:space="0" w:color="auto"/>
              <w:right w:val="single" w:sz="2" w:space="0" w:color="auto"/>
            </w:tcBorders>
            <w:shd w:val="clear" w:color="auto" w:fill="auto"/>
            <w:vAlign w:val="center"/>
          </w:tcPr>
          <w:p w14:paraId="612D8E89" w14:textId="77777777" w:rsidR="008728DD" w:rsidRPr="008B11BA" w:rsidRDefault="008728DD" w:rsidP="00A7577D">
            <w:pPr>
              <w:jc w:val="center"/>
              <w:rPr>
                <w:b/>
                <w:color w:val="000000" w:themeColor="text1"/>
                <w:sz w:val="18"/>
                <w:szCs w:val="18"/>
              </w:rPr>
            </w:pPr>
            <w:r w:rsidRPr="008B11BA">
              <w:rPr>
                <w:rFonts w:cs="Arial"/>
                <w:b/>
                <w:color w:val="000000" w:themeColor="text1"/>
                <w:sz w:val="18"/>
                <w:szCs w:val="18"/>
              </w:rPr>
              <w:t>Capital Strategy: Acceptable Risk Managed Funding</w:t>
            </w:r>
          </w:p>
        </w:tc>
      </w:tr>
      <w:tr w:rsidR="008728DD" w14:paraId="1E5F493F" w14:textId="77777777" w:rsidTr="00A7577D">
        <w:trPr>
          <w:trHeight w:val="443"/>
        </w:trPr>
        <w:tc>
          <w:tcPr>
            <w:tcW w:w="1022" w:type="dxa"/>
            <w:vMerge w:val="restart"/>
            <w:tcBorders>
              <w:top w:val="single" w:sz="12" w:space="0" w:color="auto"/>
              <w:left w:val="single" w:sz="2" w:space="0" w:color="auto"/>
              <w:right w:val="single" w:sz="2" w:space="0" w:color="auto"/>
            </w:tcBorders>
            <w:shd w:val="clear" w:color="auto" w:fill="auto"/>
            <w:vAlign w:val="center"/>
          </w:tcPr>
          <w:p w14:paraId="4BE0265C" w14:textId="77777777" w:rsidR="008728DD" w:rsidRPr="00E1340F" w:rsidRDefault="008728DD" w:rsidP="00A7577D">
            <w:pPr>
              <w:jc w:val="center"/>
              <w:rPr>
                <w:rFonts w:cs="Arial"/>
                <w:b/>
                <w:color w:val="000000" w:themeColor="text1"/>
                <w:sz w:val="18"/>
                <w:szCs w:val="18"/>
              </w:rPr>
            </w:pPr>
            <w:r w:rsidRPr="00E1340F">
              <w:rPr>
                <w:rFonts w:cs="Arial"/>
                <w:b/>
                <w:color w:val="000000" w:themeColor="text1"/>
                <w:sz w:val="18"/>
                <w:szCs w:val="18"/>
              </w:rPr>
              <w:t>A Roads</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14:paraId="712C7874" w14:textId="77777777" w:rsidR="008728DD" w:rsidRPr="00E1340F" w:rsidRDefault="008728DD" w:rsidP="00A7577D">
            <w:pPr>
              <w:jc w:val="center"/>
              <w:rPr>
                <w:rFonts w:cs="Arial"/>
                <w:color w:val="000000" w:themeColor="text1"/>
                <w:sz w:val="18"/>
                <w:szCs w:val="18"/>
              </w:rPr>
            </w:pPr>
            <w:r>
              <w:rPr>
                <w:rFonts w:cs="Arial"/>
                <w:color w:val="000000" w:themeColor="text1"/>
                <w:sz w:val="18"/>
                <w:szCs w:val="18"/>
              </w:rPr>
              <w:t xml:space="preserve">% RED </w:t>
            </w:r>
          </w:p>
        </w:tc>
        <w:tc>
          <w:tcPr>
            <w:tcW w:w="1134" w:type="dxa"/>
            <w:tcBorders>
              <w:top w:val="single" w:sz="12" w:space="0" w:color="auto"/>
              <w:left w:val="single" w:sz="2" w:space="0" w:color="auto"/>
              <w:bottom w:val="single" w:sz="2" w:space="0" w:color="auto"/>
              <w:right w:val="single" w:sz="2" w:space="0" w:color="auto"/>
            </w:tcBorders>
            <w:shd w:val="clear" w:color="auto" w:fill="FF0000"/>
            <w:vAlign w:val="center"/>
          </w:tcPr>
          <w:p w14:paraId="5215DC98"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&gt;4.32%</w:t>
            </w:r>
          </w:p>
        </w:tc>
        <w:tc>
          <w:tcPr>
            <w:tcW w:w="1474" w:type="dxa"/>
            <w:tcBorders>
              <w:top w:val="single" w:sz="12" w:space="0" w:color="auto"/>
              <w:left w:val="single" w:sz="2" w:space="0" w:color="auto"/>
              <w:bottom w:val="single" w:sz="2" w:space="0" w:color="auto"/>
              <w:right w:val="single" w:sz="2" w:space="0" w:color="auto"/>
            </w:tcBorders>
            <w:shd w:val="clear" w:color="auto" w:fill="FFC000"/>
            <w:vAlign w:val="center"/>
          </w:tcPr>
          <w:p w14:paraId="2BBCA722"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4.32% - 2.88%</w:t>
            </w:r>
          </w:p>
        </w:tc>
        <w:tc>
          <w:tcPr>
            <w:tcW w:w="1474" w:type="dxa"/>
            <w:tcBorders>
              <w:top w:val="single" w:sz="12" w:space="0" w:color="auto"/>
              <w:left w:val="single" w:sz="2" w:space="0" w:color="auto"/>
              <w:bottom w:val="single" w:sz="2" w:space="0" w:color="auto"/>
              <w:right w:val="single" w:sz="2" w:space="0" w:color="auto"/>
            </w:tcBorders>
            <w:shd w:val="clear" w:color="auto" w:fill="FFFF00"/>
            <w:vAlign w:val="center"/>
          </w:tcPr>
          <w:p w14:paraId="7F649D1D" w14:textId="243B2765" w:rsidR="008728DD" w:rsidRPr="008B11BA" w:rsidRDefault="008728DD" w:rsidP="00A7577D">
            <w:pPr>
              <w:rPr>
                <w:rFonts w:cs="Arial"/>
                <w:color w:val="000000" w:themeColor="text1"/>
                <w:sz w:val="18"/>
                <w:szCs w:val="18"/>
              </w:rPr>
            </w:pPr>
            <w:r w:rsidRPr="008B11BA">
              <w:rPr>
                <w:rFonts w:cs="Arial"/>
                <w:color w:val="000000" w:themeColor="text1"/>
                <w:sz w:val="18"/>
                <w:szCs w:val="18"/>
              </w:rPr>
              <w:t>2.88% -2.01%</w:t>
            </w:r>
          </w:p>
        </w:tc>
        <w:tc>
          <w:tcPr>
            <w:tcW w:w="1474" w:type="dxa"/>
            <w:tcBorders>
              <w:top w:val="single" w:sz="12" w:space="0" w:color="auto"/>
              <w:left w:val="single" w:sz="2" w:space="0" w:color="auto"/>
              <w:bottom w:val="single" w:sz="2" w:space="0" w:color="auto"/>
              <w:right w:val="single" w:sz="2" w:space="0" w:color="auto"/>
            </w:tcBorders>
            <w:shd w:val="clear" w:color="auto" w:fill="92D050"/>
            <w:vAlign w:val="center"/>
          </w:tcPr>
          <w:p w14:paraId="51EC529A" w14:textId="77777777" w:rsidR="008728DD" w:rsidRPr="008B11BA" w:rsidRDefault="008728DD" w:rsidP="00A7577D">
            <w:pPr>
              <w:rPr>
                <w:rFonts w:cs="Arial"/>
                <w:color w:val="000000" w:themeColor="text1"/>
                <w:sz w:val="18"/>
                <w:szCs w:val="18"/>
              </w:rPr>
            </w:pPr>
            <w:r w:rsidRPr="008B11BA">
              <w:rPr>
                <w:rFonts w:cs="Arial"/>
                <w:color w:val="000000" w:themeColor="text1"/>
                <w:sz w:val="18"/>
                <w:szCs w:val="18"/>
              </w:rPr>
              <w:t>2.01%– 1.53%</w:t>
            </w:r>
          </w:p>
        </w:tc>
        <w:tc>
          <w:tcPr>
            <w:tcW w:w="1276" w:type="dxa"/>
            <w:tcBorders>
              <w:top w:val="single" w:sz="12" w:space="0" w:color="auto"/>
              <w:left w:val="single" w:sz="2" w:space="0" w:color="auto"/>
              <w:bottom w:val="single" w:sz="2" w:space="0" w:color="auto"/>
              <w:right w:val="single" w:sz="2" w:space="0" w:color="auto"/>
            </w:tcBorders>
            <w:shd w:val="clear" w:color="auto" w:fill="00B050"/>
            <w:vAlign w:val="center"/>
          </w:tcPr>
          <w:p w14:paraId="7229BB87"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≤1.53%</w:t>
            </w:r>
          </w:p>
        </w:tc>
        <w:tc>
          <w:tcPr>
            <w:tcW w:w="1276" w:type="dxa"/>
            <w:tcBorders>
              <w:top w:val="single" w:sz="12" w:space="0" w:color="auto"/>
              <w:left w:val="single" w:sz="2" w:space="0" w:color="auto"/>
              <w:bottom w:val="single" w:sz="2" w:space="0" w:color="auto"/>
              <w:right w:val="single" w:sz="2" w:space="0" w:color="auto"/>
            </w:tcBorders>
            <w:shd w:val="clear" w:color="auto" w:fill="FFFF00"/>
            <w:vAlign w:val="center"/>
          </w:tcPr>
          <w:p w14:paraId="460C253A" w14:textId="77777777" w:rsidR="008728DD" w:rsidRPr="004E4903" w:rsidRDefault="008728DD" w:rsidP="00A7577D">
            <w:pPr>
              <w:jc w:val="center"/>
              <w:rPr>
                <w:rFonts w:cs="Arial"/>
                <w:color w:val="000000" w:themeColor="text1"/>
                <w:sz w:val="18"/>
                <w:szCs w:val="18"/>
              </w:rPr>
            </w:pPr>
            <w:r>
              <w:rPr>
                <w:rFonts w:cs="Arial"/>
                <w:color w:val="000000" w:themeColor="text1"/>
                <w:sz w:val="18"/>
                <w:szCs w:val="18"/>
              </w:rPr>
              <w:t>2.1%</w:t>
            </w:r>
          </w:p>
        </w:tc>
        <w:tc>
          <w:tcPr>
            <w:tcW w:w="1474" w:type="dxa"/>
            <w:tcBorders>
              <w:top w:val="single" w:sz="12" w:space="0" w:color="auto"/>
              <w:left w:val="single" w:sz="2" w:space="0" w:color="auto"/>
              <w:bottom w:val="single" w:sz="2" w:space="0" w:color="auto"/>
              <w:right w:val="single" w:sz="2" w:space="0" w:color="auto"/>
            </w:tcBorders>
            <w:shd w:val="clear" w:color="auto" w:fill="FFFF00"/>
            <w:vAlign w:val="center"/>
          </w:tcPr>
          <w:p w14:paraId="5AFCED39" w14:textId="4DD1990D"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2.88% -2.01%</w:t>
            </w:r>
          </w:p>
        </w:tc>
        <w:tc>
          <w:tcPr>
            <w:tcW w:w="2081" w:type="dxa"/>
            <w:tcBorders>
              <w:top w:val="single" w:sz="12" w:space="0" w:color="auto"/>
              <w:left w:val="single" w:sz="2" w:space="0" w:color="auto"/>
              <w:bottom w:val="single" w:sz="2" w:space="0" w:color="auto"/>
              <w:right w:val="single" w:sz="2" w:space="0" w:color="auto"/>
            </w:tcBorders>
            <w:shd w:val="clear" w:color="auto" w:fill="92D050"/>
            <w:vAlign w:val="center"/>
          </w:tcPr>
          <w:p w14:paraId="342584AA"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2.01%– 1.53%</w:t>
            </w:r>
          </w:p>
        </w:tc>
      </w:tr>
      <w:tr w:rsidR="008728DD" w14:paraId="28CCBE35" w14:textId="77777777" w:rsidTr="00A7577D">
        <w:trPr>
          <w:trHeight w:val="443"/>
        </w:trPr>
        <w:tc>
          <w:tcPr>
            <w:tcW w:w="1022" w:type="dxa"/>
            <w:vMerge/>
            <w:tcBorders>
              <w:left w:val="single" w:sz="2" w:space="0" w:color="auto"/>
              <w:bottom w:val="single" w:sz="12" w:space="0" w:color="auto"/>
              <w:right w:val="single" w:sz="2" w:space="0" w:color="auto"/>
            </w:tcBorders>
            <w:shd w:val="clear" w:color="auto" w:fill="auto"/>
            <w:vAlign w:val="center"/>
          </w:tcPr>
          <w:p w14:paraId="4889C769" w14:textId="77777777" w:rsidR="008728DD" w:rsidRPr="00E1340F" w:rsidRDefault="008728DD" w:rsidP="00A7577D">
            <w:pPr>
              <w:jc w:val="center"/>
              <w:rPr>
                <w:rFonts w:cs="Arial"/>
                <w:b/>
                <w:color w:val="000000" w:themeColor="text1"/>
                <w:sz w:val="18"/>
                <w:szCs w:val="18"/>
              </w:rPr>
            </w:pP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68B3D298" w14:textId="77777777" w:rsidR="008728DD" w:rsidRPr="00E1340F" w:rsidRDefault="008728DD" w:rsidP="00A7577D">
            <w:pPr>
              <w:jc w:val="center"/>
              <w:rPr>
                <w:rFonts w:cs="Arial"/>
                <w:color w:val="000000" w:themeColor="text1"/>
                <w:sz w:val="18"/>
                <w:szCs w:val="18"/>
              </w:rPr>
            </w:pPr>
            <w:r>
              <w:rPr>
                <w:rFonts w:cs="Arial"/>
                <w:color w:val="000000" w:themeColor="text1"/>
                <w:sz w:val="18"/>
                <w:szCs w:val="18"/>
              </w:rPr>
              <w:t>% AMBER</w:t>
            </w:r>
          </w:p>
        </w:tc>
        <w:tc>
          <w:tcPr>
            <w:tcW w:w="1134" w:type="dxa"/>
            <w:tcBorders>
              <w:top w:val="single" w:sz="2" w:space="0" w:color="auto"/>
              <w:left w:val="single" w:sz="2" w:space="0" w:color="auto"/>
              <w:bottom w:val="single" w:sz="12" w:space="0" w:color="auto"/>
              <w:right w:val="single" w:sz="2" w:space="0" w:color="auto"/>
            </w:tcBorders>
            <w:shd w:val="clear" w:color="auto" w:fill="FF0000"/>
            <w:vAlign w:val="center"/>
          </w:tcPr>
          <w:p w14:paraId="55A30E0C"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&gt;35.72%</w:t>
            </w:r>
          </w:p>
        </w:tc>
        <w:tc>
          <w:tcPr>
            <w:tcW w:w="1474" w:type="dxa"/>
            <w:tcBorders>
              <w:top w:val="single" w:sz="2" w:space="0" w:color="auto"/>
              <w:left w:val="single" w:sz="2" w:space="0" w:color="auto"/>
              <w:bottom w:val="single" w:sz="12" w:space="0" w:color="auto"/>
              <w:right w:val="single" w:sz="2" w:space="0" w:color="auto"/>
            </w:tcBorders>
            <w:shd w:val="clear" w:color="auto" w:fill="FFC000"/>
            <w:vAlign w:val="center"/>
          </w:tcPr>
          <w:p w14:paraId="6B5ED3B9"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35.72% - 25.06%</w:t>
            </w:r>
          </w:p>
        </w:tc>
        <w:tc>
          <w:tcPr>
            <w:tcW w:w="1474" w:type="dxa"/>
            <w:tcBorders>
              <w:top w:val="single" w:sz="2" w:space="0" w:color="auto"/>
              <w:left w:val="single" w:sz="2" w:space="0" w:color="auto"/>
              <w:bottom w:val="single" w:sz="12" w:space="0" w:color="auto"/>
              <w:right w:val="single" w:sz="2" w:space="0" w:color="auto"/>
            </w:tcBorders>
            <w:shd w:val="clear" w:color="auto" w:fill="FFFF00"/>
            <w:vAlign w:val="center"/>
          </w:tcPr>
          <w:p w14:paraId="2FED5998"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25.06%- 20.47%</w:t>
            </w:r>
          </w:p>
        </w:tc>
        <w:tc>
          <w:tcPr>
            <w:tcW w:w="1474" w:type="dxa"/>
            <w:tcBorders>
              <w:top w:val="single" w:sz="2" w:space="0" w:color="auto"/>
              <w:left w:val="single" w:sz="2" w:space="0" w:color="auto"/>
              <w:bottom w:val="single" w:sz="12" w:space="0" w:color="auto"/>
              <w:right w:val="single" w:sz="2" w:space="0" w:color="auto"/>
            </w:tcBorders>
            <w:shd w:val="clear" w:color="auto" w:fill="92D050"/>
            <w:vAlign w:val="center"/>
          </w:tcPr>
          <w:p w14:paraId="3F92D996"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20.47% - 18.86%</w:t>
            </w:r>
          </w:p>
        </w:tc>
        <w:tc>
          <w:tcPr>
            <w:tcW w:w="1276" w:type="dxa"/>
            <w:tcBorders>
              <w:top w:val="single" w:sz="2" w:space="0" w:color="auto"/>
              <w:left w:val="single" w:sz="2" w:space="0" w:color="auto"/>
              <w:bottom w:val="single" w:sz="12" w:space="0" w:color="auto"/>
              <w:right w:val="single" w:sz="2" w:space="0" w:color="auto"/>
            </w:tcBorders>
            <w:shd w:val="clear" w:color="auto" w:fill="00B050"/>
            <w:vAlign w:val="center"/>
          </w:tcPr>
          <w:p w14:paraId="7FB22043"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≤18.86%</w:t>
            </w:r>
          </w:p>
        </w:tc>
        <w:tc>
          <w:tcPr>
            <w:tcW w:w="1276" w:type="dxa"/>
            <w:tcBorders>
              <w:top w:val="single" w:sz="2" w:space="0" w:color="auto"/>
              <w:left w:val="single" w:sz="2" w:space="0" w:color="auto"/>
              <w:bottom w:val="single" w:sz="12" w:space="0" w:color="auto"/>
              <w:right w:val="single" w:sz="2" w:space="0" w:color="auto"/>
            </w:tcBorders>
            <w:shd w:val="clear" w:color="auto" w:fill="FFFF00"/>
            <w:vAlign w:val="center"/>
          </w:tcPr>
          <w:p w14:paraId="6F8CA332"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20.47%</w:t>
            </w:r>
          </w:p>
        </w:tc>
        <w:tc>
          <w:tcPr>
            <w:tcW w:w="1474" w:type="dxa"/>
            <w:tcBorders>
              <w:top w:val="single" w:sz="2" w:space="0" w:color="auto"/>
              <w:left w:val="single" w:sz="2" w:space="0" w:color="auto"/>
              <w:bottom w:val="single" w:sz="12" w:space="0" w:color="auto"/>
              <w:right w:val="single" w:sz="2" w:space="0" w:color="auto"/>
            </w:tcBorders>
            <w:shd w:val="clear" w:color="auto" w:fill="FFFF00"/>
            <w:vAlign w:val="center"/>
          </w:tcPr>
          <w:p w14:paraId="015DB4EC"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25.06%- 20.47%</w:t>
            </w:r>
          </w:p>
        </w:tc>
        <w:tc>
          <w:tcPr>
            <w:tcW w:w="2081" w:type="dxa"/>
            <w:tcBorders>
              <w:top w:val="single" w:sz="2" w:space="0" w:color="auto"/>
              <w:left w:val="single" w:sz="2" w:space="0" w:color="auto"/>
              <w:bottom w:val="single" w:sz="12" w:space="0" w:color="auto"/>
              <w:right w:val="single" w:sz="2" w:space="0" w:color="auto"/>
            </w:tcBorders>
            <w:shd w:val="clear" w:color="auto" w:fill="92D050"/>
            <w:vAlign w:val="center"/>
          </w:tcPr>
          <w:p w14:paraId="02F269AD"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20.47% - 18.86%</w:t>
            </w:r>
          </w:p>
        </w:tc>
      </w:tr>
      <w:tr w:rsidR="008728DD" w14:paraId="26D56F4D" w14:textId="77777777" w:rsidTr="00A7577D">
        <w:trPr>
          <w:trHeight w:val="443"/>
        </w:trPr>
        <w:tc>
          <w:tcPr>
            <w:tcW w:w="1022" w:type="dxa"/>
            <w:vMerge w:val="restart"/>
            <w:tcBorders>
              <w:top w:val="single" w:sz="12" w:space="0" w:color="auto"/>
              <w:left w:val="single" w:sz="2" w:space="0" w:color="auto"/>
              <w:right w:val="single" w:sz="2" w:space="0" w:color="auto"/>
            </w:tcBorders>
            <w:shd w:val="clear" w:color="auto" w:fill="auto"/>
            <w:vAlign w:val="center"/>
          </w:tcPr>
          <w:p w14:paraId="51A9CA9C" w14:textId="77777777" w:rsidR="008728DD" w:rsidRPr="00E1340F" w:rsidRDefault="008728DD" w:rsidP="00A7577D">
            <w:pPr>
              <w:jc w:val="center"/>
              <w:rPr>
                <w:rFonts w:cs="Arial"/>
                <w:sz w:val="18"/>
                <w:szCs w:val="18"/>
              </w:rPr>
            </w:pPr>
            <w:r w:rsidRPr="00E1340F">
              <w:rPr>
                <w:rFonts w:cs="Arial"/>
                <w:b/>
                <w:color w:val="000000" w:themeColor="text1"/>
                <w:sz w:val="18"/>
                <w:szCs w:val="18"/>
              </w:rPr>
              <w:t>B Roads</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14:paraId="79CE9B92" w14:textId="77777777" w:rsidR="008728DD" w:rsidRPr="00E1340F" w:rsidRDefault="008728DD" w:rsidP="00A7577D">
            <w:pPr>
              <w:jc w:val="center"/>
              <w:rPr>
                <w:rFonts w:cs="Arial"/>
                <w:color w:val="000000" w:themeColor="text1"/>
                <w:sz w:val="18"/>
                <w:szCs w:val="18"/>
              </w:rPr>
            </w:pPr>
            <w:r>
              <w:rPr>
                <w:rFonts w:cs="Arial"/>
                <w:color w:val="000000" w:themeColor="text1"/>
                <w:sz w:val="18"/>
                <w:szCs w:val="18"/>
              </w:rPr>
              <w:t>% RED</w:t>
            </w:r>
          </w:p>
        </w:tc>
        <w:tc>
          <w:tcPr>
            <w:tcW w:w="1134" w:type="dxa"/>
            <w:tcBorders>
              <w:top w:val="single" w:sz="12" w:space="0" w:color="auto"/>
              <w:left w:val="single" w:sz="2" w:space="0" w:color="auto"/>
              <w:bottom w:val="single" w:sz="2" w:space="0" w:color="auto"/>
              <w:right w:val="single" w:sz="2" w:space="0" w:color="auto"/>
            </w:tcBorders>
            <w:shd w:val="clear" w:color="auto" w:fill="FF0000"/>
            <w:vAlign w:val="center"/>
          </w:tcPr>
          <w:p w14:paraId="063330EB"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&gt;6.04%</w:t>
            </w:r>
          </w:p>
        </w:tc>
        <w:tc>
          <w:tcPr>
            <w:tcW w:w="1474" w:type="dxa"/>
            <w:tcBorders>
              <w:top w:val="single" w:sz="12" w:space="0" w:color="auto"/>
              <w:left w:val="single" w:sz="2" w:space="0" w:color="auto"/>
              <w:bottom w:val="single" w:sz="2" w:space="0" w:color="auto"/>
              <w:right w:val="single" w:sz="2" w:space="0" w:color="auto"/>
            </w:tcBorders>
            <w:shd w:val="clear" w:color="auto" w:fill="FFC000"/>
            <w:vAlign w:val="center"/>
          </w:tcPr>
          <w:p w14:paraId="74E86B07"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6.04% - 3.73%</w:t>
            </w:r>
          </w:p>
        </w:tc>
        <w:tc>
          <w:tcPr>
            <w:tcW w:w="1474" w:type="dxa"/>
            <w:tcBorders>
              <w:top w:val="single" w:sz="12" w:space="0" w:color="auto"/>
              <w:left w:val="single" w:sz="2" w:space="0" w:color="auto"/>
              <w:bottom w:val="single" w:sz="2" w:space="0" w:color="auto"/>
              <w:right w:val="single" w:sz="2" w:space="0" w:color="auto"/>
            </w:tcBorders>
            <w:shd w:val="clear" w:color="auto" w:fill="FFFF00"/>
            <w:vAlign w:val="center"/>
          </w:tcPr>
          <w:p w14:paraId="135EEC93"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3.73% - 2.19%</w:t>
            </w:r>
          </w:p>
        </w:tc>
        <w:tc>
          <w:tcPr>
            <w:tcW w:w="1474" w:type="dxa"/>
            <w:tcBorders>
              <w:top w:val="single" w:sz="12" w:space="0" w:color="auto"/>
              <w:left w:val="single" w:sz="2" w:space="0" w:color="auto"/>
              <w:bottom w:val="single" w:sz="2" w:space="0" w:color="auto"/>
              <w:right w:val="single" w:sz="2" w:space="0" w:color="auto"/>
            </w:tcBorders>
            <w:shd w:val="clear" w:color="auto" w:fill="92D050"/>
            <w:vAlign w:val="center"/>
          </w:tcPr>
          <w:p w14:paraId="3BA66EC9"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2.19% - 1.95%</w:t>
            </w:r>
          </w:p>
        </w:tc>
        <w:tc>
          <w:tcPr>
            <w:tcW w:w="1276" w:type="dxa"/>
            <w:tcBorders>
              <w:top w:val="single" w:sz="12" w:space="0" w:color="auto"/>
              <w:left w:val="single" w:sz="2" w:space="0" w:color="auto"/>
              <w:bottom w:val="single" w:sz="2" w:space="0" w:color="auto"/>
              <w:right w:val="single" w:sz="2" w:space="0" w:color="auto"/>
            </w:tcBorders>
            <w:shd w:val="clear" w:color="auto" w:fill="00B050"/>
            <w:vAlign w:val="center"/>
          </w:tcPr>
          <w:p w14:paraId="7AF4F560"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≤1.95%</w:t>
            </w:r>
          </w:p>
        </w:tc>
        <w:tc>
          <w:tcPr>
            <w:tcW w:w="1276" w:type="dxa"/>
            <w:tcBorders>
              <w:top w:val="single" w:sz="12" w:space="0" w:color="auto"/>
              <w:left w:val="single" w:sz="2" w:space="0" w:color="auto"/>
              <w:bottom w:val="single" w:sz="4" w:space="0" w:color="auto"/>
              <w:right w:val="single" w:sz="2" w:space="0" w:color="auto"/>
            </w:tcBorders>
            <w:shd w:val="clear" w:color="auto" w:fill="FFFF00"/>
            <w:vAlign w:val="center"/>
          </w:tcPr>
          <w:p w14:paraId="22765458" w14:textId="77777777" w:rsidR="008728DD" w:rsidRPr="004E4903" w:rsidRDefault="008728DD" w:rsidP="00A7577D">
            <w:pPr>
              <w:jc w:val="center"/>
              <w:rPr>
                <w:rFonts w:cs="Arial"/>
                <w:color w:val="000000" w:themeColor="text1"/>
                <w:sz w:val="18"/>
                <w:szCs w:val="18"/>
              </w:rPr>
            </w:pPr>
            <w:r w:rsidRPr="00BF4002">
              <w:rPr>
                <w:rFonts w:cs="Arial"/>
                <w:color w:val="000000" w:themeColor="text1"/>
                <w:sz w:val="18"/>
                <w:szCs w:val="18"/>
                <w:highlight w:val="yellow"/>
              </w:rPr>
              <w:t>3.09%</w:t>
            </w:r>
          </w:p>
        </w:tc>
        <w:tc>
          <w:tcPr>
            <w:tcW w:w="1474" w:type="dxa"/>
            <w:tcBorders>
              <w:top w:val="single" w:sz="12" w:space="0" w:color="auto"/>
              <w:left w:val="single" w:sz="2" w:space="0" w:color="auto"/>
              <w:bottom w:val="single" w:sz="4" w:space="0" w:color="auto"/>
              <w:right w:val="single" w:sz="2" w:space="0" w:color="auto"/>
            </w:tcBorders>
            <w:shd w:val="clear" w:color="auto" w:fill="FFFF00"/>
            <w:vAlign w:val="center"/>
          </w:tcPr>
          <w:p w14:paraId="308E802C"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3.73% - 2.19%</w:t>
            </w:r>
          </w:p>
        </w:tc>
        <w:tc>
          <w:tcPr>
            <w:tcW w:w="2081" w:type="dxa"/>
            <w:tcBorders>
              <w:top w:val="single" w:sz="12" w:space="0" w:color="auto"/>
              <w:left w:val="single" w:sz="2" w:space="0" w:color="auto"/>
              <w:bottom w:val="single" w:sz="4" w:space="0" w:color="auto"/>
              <w:right w:val="single" w:sz="2" w:space="0" w:color="auto"/>
            </w:tcBorders>
            <w:shd w:val="clear" w:color="auto" w:fill="92D050"/>
            <w:vAlign w:val="center"/>
          </w:tcPr>
          <w:p w14:paraId="65D7E768"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2.19% - 1.95%</w:t>
            </w:r>
          </w:p>
        </w:tc>
      </w:tr>
      <w:tr w:rsidR="008728DD" w14:paraId="1656AD5A" w14:textId="77777777" w:rsidTr="00A7577D">
        <w:trPr>
          <w:trHeight w:val="443"/>
        </w:trPr>
        <w:tc>
          <w:tcPr>
            <w:tcW w:w="1022" w:type="dxa"/>
            <w:vMerge/>
            <w:tcBorders>
              <w:left w:val="single" w:sz="2" w:space="0" w:color="auto"/>
              <w:bottom w:val="single" w:sz="12" w:space="0" w:color="auto"/>
              <w:right w:val="single" w:sz="2" w:space="0" w:color="auto"/>
            </w:tcBorders>
            <w:shd w:val="clear" w:color="auto" w:fill="auto"/>
            <w:vAlign w:val="center"/>
          </w:tcPr>
          <w:p w14:paraId="651BB3BD" w14:textId="77777777" w:rsidR="008728DD" w:rsidRPr="00E1340F" w:rsidRDefault="008728DD" w:rsidP="00A7577D">
            <w:pPr>
              <w:jc w:val="center"/>
              <w:rPr>
                <w:rFonts w:cs="Arial"/>
                <w:b/>
                <w:color w:val="000000" w:themeColor="text1"/>
                <w:sz w:val="18"/>
                <w:szCs w:val="18"/>
              </w:rPr>
            </w:pP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72CB4089" w14:textId="77777777" w:rsidR="008728DD" w:rsidRPr="00E1340F" w:rsidRDefault="008728DD" w:rsidP="00A7577D">
            <w:pPr>
              <w:jc w:val="center"/>
              <w:rPr>
                <w:rFonts w:cs="Arial"/>
                <w:color w:val="000000" w:themeColor="text1"/>
                <w:sz w:val="18"/>
                <w:szCs w:val="18"/>
              </w:rPr>
            </w:pPr>
            <w:r>
              <w:rPr>
                <w:rFonts w:cs="Arial"/>
                <w:color w:val="000000" w:themeColor="text1"/>
                <w:sz w:val="18"/>
                <w:szCs w:val="18"/>
              </w:rPr>
              <w:t>% AMBER</w:t>
            </w:r>
          </w:p>
        </w:tc>
        <w:tc>
          <w:tcPr>
            <w:tcW w:w="1134" w:type="dxa"/>
            <w:tcBorders>
              <w:top w:val="single" w:sz="2" w:space="0" w:color="auto"/>
              <w:left w:val="single" w:sz="2" w:space="0" w:color="auto"/>
              <w:bottom w:val="single" w:sz="12" w:space="0" w:color="auto"/>
              <w:right w:val="single" w:sz="2" w:space="0" w:color="auto"/>
            </w:tcBorders>
            <w:shd w:val="clear" w:color="auto" w:fill="FF0000"/>
            <w:vAlign w:val="center"/>
          </w:tcPr>
          <w:p w14:paraId="7A77B0AA"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&gt;31.90%</w:t>
            </w:r>
          </w:p>
        </w:tc>
        <w:tc>
          <w:tcPr>
            <w:tcW w:w="1474" w:type="dxa"/>
            <w:tcBorders>
              <w:top w:val="single" w:sz="2" w:space="0" w:color="auto"/>
              <w:left w:val="single" w:sz="2" w:space="0" w:color="auto"/>
              <w:bottom w:val="single" w:sz="12" w:space="0" w:color="auto"/>
              <w:right w:val="single" w:sz="2" w:space="0" w:color="auto"/>
            </w:tcBorders>
            <w:shd w:val="clear" w:color="auto" w:fill="FFC000"/>
            <w:vAlign w:val="center"/>
          </w:tcPr>
          <w:p w14:paraId="5CC17559"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31.90% - 29.13%</w:t>
            </w:r>
          </w:p>
        </w:tc>
        <w:tc>
          <w:tcPr>
            <w:tcW w:w="1474" w:type="dxa"/>
            <w:tcBorders>
              <w:top w:val="single" w:sz="2" w:space="0" w:color="auto"/>
              <w:left w:val="single" w:sz="2" w:space="0" w:color="auto"/>
              <w:bottom w:val="single" w:sz="12" w:space="0" w:color="auto"/>
              <w:right w:val="single" w:sz="2" w:space="0" w:color="auto"/>
            </w:tcBorders>
            <w:shd w:val="clear" w:color="auto" w:fill="FFFF00"/>
            <w:vAlign w:val="center"/>
          </w:tcPr>
          <w:p w14:paraId="04BFC076"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29.13%-22.73%</w:t>
            </w:r>
          </w:p>
        </w:tc>
        <w:tc>
          <w:tcPr>
            <w:tcW w:w="1474" w:type="dxa"/>
            <w:tcBorders>
              <w:top w:val="single" w:sz="2" w:space="0" w:color="auto"/>
              <w:left w:val="single" w:sz="2" w:space="0" w:color="auto"/>
              <w:bottom w:val="single" w:sz="12" w:space="0" w:color="auto"/>
              <w:right w:val="single" w:sz="2" w:space="0" w:color="auto"/>
            </w:tcBorders>
            <w:shd w:val="clear" w:color="auto" w:fill="92D050"/>
            <w:vAlign w:val="center"/>
          </w:tcPr>
          <w:p w14:paraId="4B471C46"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22.73% -19.63%</w:t>
            </w:r>
          </w:p>
        </w:tc>
        <w:tc>
          <w:tcPr>
            <w:tcW w:w="1276" w:type="dxa"/>
            <w:tcBorders>
              <w:top w:val="single" w:sz="2" w:space="0" w:color="auto"/>
              <w:left w:val="single" w:sz="2" w:space="0" w:color="auto"/>
              <w:bottom w:val="single" w:sz="12" w:space="0" w:color="auto"/>
              <w:right w:val="single" w:sz="2" w:space="0" w:color="auto"/>
            </w:tcBorders>
            <w:shd w:val="clear" w:color="auto" w:fill="00B050"/>
            <w:vAlign w:val="center"/>
          </w:tcPr>
          <w:p w14:paraId="0214861F"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≤19.63%</w:t>
            </w:r>
          </w:p>
        </w:tc>
        <w:tc>
          <w:tcPr>
            <w:tcW w:w="1276" w:type="dxa"/>
            <w:tcBorders>
              <w:top w:val="single" w:sz="2" w:space="0" w:color="auto"/>
              <w:left w:val="single" w:sz="2" w:space="0" w:color="auto"/>
              <w:bottom w:val="single" w:sz="12" w:space="0" w:color="auto"/>
              <w:right w:val="single" w:sz="2" w:space="0" w:color="auto"/>
            </w:tcBorders>
            <w:shd w:val="clear" w:color="auto" w:fill="FFFF00"/>
            <w:vAlign w:val="center"/>
          </w:tcPr>
          <w:p w14:paraId="6869FAD2" w14:textId="77777777" w:rsidR="008728DD" w:rsidRPr="004E4903" w:rsidRDefault="008728DD" w:rsidP="00A7577D">
            <w:pPr>
              <w:jc w:val="center"/>
              <w:rPr>
                <w:rFonts w:cs="Arial"/>
                <w:color w:val="000000" w:themeColor="text1"/>
                <w:sz w:val="18"/>
                <w:szCs w:val="18"/>
              </w:rPr>
            </w:pPr>
            <w:r w:rsidRPr="00B658CA">
              <w:rPr>
                <w:rFonts w:cs="Arial"/>
                <w:color w:val="000000" w:themeColor="text1"/>
                <w:sz w:val="18"/>
                <w:szCs w:val="18"/>
                <w:highlight w:val="green"/>
              </w:rPr>
              <w:t>22.73%</w:t>
            </w:r>
            <w:r>
              <w:rPr>
                <w:rFonts w:cs="Arial"/>
                <w:color w:val="000000" w:themeColor="text1"/>
                <w:sz w:val="18"/>
                <w:szCs w:val="18"/>
              </w:rPr>
              <w:t>*</w:t>
            </w:r>
          </w:p>
        </w:tc>
        <w:tc>
          <w:tcPr>
            <w:tcW w:w="1474" w:type="dxa"/>
            <w:tcBorders>
              <w:top w:val="single" w:sz="2" w:space="0" w:color="auto"/>
              <w:left w:val="single" w:sz="2" w:space="0" w:color="auto"/>
              <w:bottom w:val="single" w:sz="12" w:space="0" w:color="auto"/>
              <w:right w:val="single" w:sz="2" w:space="0" w:color="auto"/>
            </w:tcBorders>
            <w:shd w:val="clear" w:color="auto" w:fill="FFFF00"/>
            <w:vAlign w:val="center"/>
          </w:tcPr>
          <w:p w14:paraId="44C846E6"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29.13%-22.73%</w:t>
            </w:r>
          </w:p>
        </w:tc>
        <w:tc>
          <w:tcPr>
            <w:tcW w:w="2081" w:type="dxa"/>
            <w:tcBorders>
              <w:top w:val="single" w:sz="2" w:space="0" w:color="auto"/>
              <w:left w:val="single" w:sz="2" w:space="0" w:color="auto"/>
              <w:bottom w:val="single" w:sz="12" w:space="0" w:color="auto"/>
              <w:right w:val="single" w:sz="2" w:space="0" w:color="auto"/>
            </w:tcBorders>
            <w:shd w:val="clear" w:color="auto" w:fill="92D050"/>
            <w:vAlign w:val="center"/>
          </w:tcPr>
          <w:p w14:paraId="5254B2A8"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22.73% -19.63%</w:t>
            </w:r>
          </w:p>
        </w:tc>
      </w:tr>
      <w:tr w:rsidR="008728DD" w14:paraId="5184FF98" w14:textId="77777777" w:rsidTr="00A7577D">
        <w:trPr>
          <w:trHeight w:val="443"/>
        </w:trPr>
        <w:tc>
          <w:tcPr>
            <w:tcW w:w="1022" w:type="dxa"/>
            <w:vMerge w:val="restart"/>
            <w:tcBorders>
              <w:top w:val="single" w:sz="12" w:space="0" w:color="auto"/>
              <w:left w:val="single" w:sz="2" w:space="0" w:color="auto"/>
              <w:right w:val="single" w:sz="2" w:space="0" w:color="auto"/>
            </w:tcBorders>
            <w:shd w:val="clear" w:color="auto" w:fill="auto"/>
            <w:vAlign w:val="center"/>
          </w:tcPr>
          <w:p w14:paraId="164512C4" w14:textId="77777777" w:rsidR="008728DD" w:rsidRPr="00E1340F" w:rsidRDefault="008728DD" w:rsidP="00A7577D">
            <w:pPr>
              <w:jc w:val="center"/>
              <w:rPr>
                <w:rFonts w:cs="Arial"/>
                <w:sz w:val="18"/>
                <w:szCs w:val="18"/>
              </w:rPr>
            </w:pPr>
            <w:r w:rsidRPr="00E1340F">
              <w:rPr>
                <w:rFonts w:cs="Arial"/>
                <w:b/>
                <w:color w:val="000000" w:themeColor="text1"/>
                <w:sz w:val="18"/>
                <w:szCs w:val="18"/>
              </w:rPr>
              <w:t>C Roads</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14:paraId="72ED9E1A" w14:textId="77777777" w:rsidR="008728DD" w:rsidRPr="00E1340F" w:rsidRDefault="008728DD" w:rsidP="00A7577D">
            <w:pPr>
              <w:jc w:val="center"/>
              <w:rPr>
                <w:rFonts w:cs="Arial"/>
                <w:b/>
                <w:color w:val="000000" w:themeColor="text1"/>
                <w:sz w:val="18"/>
                <w:szCs w:val="18"/>
              </w:rPr>
            </w:pPr>
            <w:r>
              <w:rPr>
                <w:rFonts w:cs="Arial"/>
                <w:color w:val="000000" w:themeColor="text1"/>
                <w:sz w:val="18"/>
                <w:szCs w:val="18"/>
              </w:rPr>
              <w:t>% RED</w:t>
            </w:r>
          </w:p>
        </w:tc>
        <w:tc>
          <w:tcPr>
            <w:tcW w:w="1134" w:type="dxa"/>
            <w:tcBorders>
              <w:top w:val="single" w:sz="12" w:space="0" w:color="auto"/>
              <w:left w:val="single" w:sz="2" w:space="0" w:color="auto"/>
              <w:bottom w:val="single" w:sz="2" w:space="0" w:color="auto"/>
              <w:right w:val="single" w:sz="2" w:space="0" w:color="auto"/>
            </w:tcBorders>
            <w:shd w:val="clear" w:color="auto" w:fill="FF0000"/>
            <w:vAlign w:val="center"/>
          </w:tcPr>
          <w:p w14:paraId="20D72E6E"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&gt;6.02%</w:t>
            </w:r>
          </w:p>
        </w:tc>
        <w:tc>
          <w:tcPr>
            <w:tcW w:w="1474" w:type="dxa"/>
            <w:tcBorders>
              <w:top w:val="single" w:sz="12" w:space="0" w:color="auto"/>
              <w:left w:val="single" w:sz="2" w:space="0" w:color="auto"/>
              <w:bottom w:val="single" w:sz="2" w:space="0" w:color="auto"/>
              <w:right w:val="single" w:sz="2" w:space="0" w:color="auto"/>
            </w:tcBorders>
            <w:shd w:val="clear" w:color="auto" w:fill="FFC000"/>
            <w:vAlign w:val="center"/>
          </w:tcPr>
          <w:p w14:paraId="7A1CE37C" w14:textId="77777777" w:rsidR="008728DD" w:rsidRPr="008B11BA" w:rsidRDefault="008728DD" w:rsidP="00A7577D">
            <w:pPr>
              <w:jc w:val="center"/>
              <w:rPr>
                <w:rFonts w:cs="Arial"/>
                <w:sz w:val="18"/>
                <w:szCs w:val="18"/>
              </w:rPr>
            </w:pPr>
            <w:r w:rsidRPr="008B11BA">
              <w:rPr>
                <w:rFonts w:cs="Arial"/>
                <w:sz w:val="18"/>
                <w:szCs w:val="18"/>
              </w:rPr>
              <w:t>6.02% - 5.1%</w:t>
            </w:r>
          </w:p>
        </w:tc>
        <w:tc>
          <w:tcPr>
            <w:tcW w:w="1474" w:type="dxa"/>
            <w:tcBorders>
              <w:top w:val="single" w:sz="12" w:space="0" w:color="auto"/>
              <w:left w:val="single" w:sz="2" w:space="0" w:color="auto"/>
              <w:bottom w:val="single" w:sz="2" w:space="0" w:color="auto"/>
              <w:right w:val="single" w:sz="2" w:space="0" w:color="auto"/>
            </w:tcBorders>
            <w:shd w:val="clear" w:color="auto" w:fill="FFFF00"/>
            <w:vAlign w:val="center"/>
          </w:tcPr>
          <w:p w14:paraId="41500EB9" w14:textId="77777777" w:rsidR="008728DD" w:rsidRPr="008B11BA" w:rsidRDefault="008728DD" w:rsidP="00A7577D">
            <w:pPr>
              <w:jc w:val="center"/>
              <w:rPr>
                <w:rFonts w:cs="Arial"/>
                <w:sz w:val="18"/>
                <w:szCs w:val="18"/>
              </w:rPr>
            </w:pPr>
            <w:r w:rsidRPr="008B11BA">
              <w:rPr>
                <w:rFonts w:cs="Arial"/>
                <w:sz w:val="18"/>
                <w:szCs w:val="18"/>
              </w:rPr>
              <w:t>5.1% - 3.54%</w:t>
            </w:r>
          </w:p>
        </w:tc>
        <w:tc>
          <w:tcPr>
            <w:tcW w:w="1474" w:type="dxa"/>
            <w:tcBorders>
              <w:top w:val="single" w:sz="12" w:space="0" w:color="auto"/>
              <w:left w:val="single" w:sz="2" w:space="0" w:color="auto"/>
              <w:bottom w:val="single" w:sz="2" w:space="0" w:color="auto"/>
              <w:right w:val="single" w:sz="2" w:space="0" w:color="auto"/>
            </w:tcBorders>
            <w:shd w:val="clear" w:color="auto" w:fill="92D050"/>
            <w:vAlign w:val="center"/>
          </w:tcPr>
          <w:p w14:paraId="3751A0A8" w14:textId="77777777" w:rsidR="008728DD" w:rsidRPr="008B11BA" w:rsidRDefault="008728DD" w:rsidP="00A7577D">
            <w:pPr>
              <w:jc w:val="center"/>
              <w:rPr>
                <w:rFonts w:cs="Arial"/>
                <w:sz w:val="18"/>
                <w:szCs w:val="18"/>
              </w:rPr>
            </w:pPr>
            <w:r w:rsidRPr="008B11BA">
              <w:rPr>
                <w:rFonts w:cs="Arial"/>
                <w:sz w:val="18"/>
                <w:szCs w:val="18"/>
              </w:rPr>
              <w:t>3.54% - 3.24%</w:t>
            </w:r>
          </w:p>
        </w:tc>
        <w:tc>
          <w:tcPr>
            <w:tcW w:w="1276" w:type="dxa"/>
            <w:tcBorders>
              <w:top w:val="single" w:sz="12" w:space="0" w:color="auto"/>
              <w:left w:val="single" w:sz="2" w:space="0" w:color="auto"/>
              <w:bottom w:val="single" w:sz="2" w:space="0" w:color="auto"/>
              <w:right w:val="single" w:sz="4" w:space="0" w:color="auto"/>
            </w:tcBorders>
            <w:shd w:val="clear" w:color="auto" w:fill="00B050"/>
            <w:vAlign w:val="center"/>
          </w:tcPr>
          <w:p w14:paraId="518D1184"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≤3.24%</w:t>
            </w:r>
          </w:p>
        </w:tc>
        <w:tc>
          <w:tcPr>
            <w:tcW w:w="1276" w:type="dxa"/>
            <w:tcBorders>
              <w:top w:val="single" w:sz="12" w:space="0" w:color="auto"/>
              <w:left w:val="single" w:sz="4" w:space="0" w:color="auto"/>
              <w:bottom w:val="single" w:sz="4" w:space="0" w:color="auto"/>
              <w:right w:val="single" w:sz="4" w:space="0" w:color="auto"/>
            </w:tcBorders>
            <w:shd w:val="clear" w:color="auto" w:fill="FFC000"/>
            <w:vAlign w:val="center"/>
          </w:tcPr>
          <w:p w14:paraId="2BE5CF8B" w14:textId="77777777" w:rsidR="008728DD" w:rsidRPr="004E4903" w:rsidRDefault="008728DD" w:rsidP="00A7577D">
            <w:pPr>
              <w:jc w:val="center"/>
              <w:rPr>
                <w:rFonts w:cs="Arial"/>
                <w:color w:val="000000" w:themeColor="text1"/>
                <w:sz w:val="18"/>
                <w:szCs w:val="18"/>
              </w:rPr>
            </w:pPr>
            <w:r>
              <w:rPr>
                <w:rFonts w:cs="Arial"/>
                <w:color w:val="000000" w:themeColor="text1"/>
                <w:sz w:val="18"/>
                <w:szCs w:val="18"/>
              </w:rPr>
              <w:t>5.23%</w:t>
            </w:r>
          </w:p>
        </w:tc>
        <w:tc>
          <w:tcPr>
            <w:tcW w:w="1474" w:type="dxa"/>
            <w:tcBorders>
              <w:top w:val="single" w:sz="12" w:space="0" w:color="auto"/>
              <w:left w:val="single" w:sz="4" w:space="0" w:color="auto"/>
              <w:bottom w:val="single" w:sz="4" w:space="0" w:color="auto"/>
              <w:right w:val="single" w:sz="4" w:space="0" w:color="auto"/>
            </w:tcBorders>
            <w:shd w:val="clear" w:color="auto" w:fill="FFC000"/>
            <w:vAlign w:val="center"/>
          </w:tcPr>
          <w:p w14:paraId="2A57D220" w14:textId="77777777" w:rsidR="008728DD" w:rsidRPr="008B11BA" w:rsidRDefault="008728DD" w:rsidP="00A7577D">
            <w:pPr>
              <w:jc w:val="center"/>
              <w:rPr>
                <w:rFonts w:cs="Arial"/>
                <w:color w:val="000000" w:themeColor="text1"/>
                <w:sz w:val="18"/>
                <w:szCs w:val="18"/>
              </w:rPr>
            </w:pPr>
            <w:r w:rsidRPr="008B11BA">
              <w:rPr>
                <w:rFonts w:cs="Arial"/>
                <w:sz w:val="18"/>
                <w:szCs w:val="18"/>
              </w:rPr>
              <w:t>6.02% - 5.1%</w:t>
            </w:r>
          </w:p>
        </w:tc>
        <w:tc>
          <w:tcPr>
            <w:tcW w:w="2081" w:type="dxa"/>
            <w:tcBorders>
              <w:top w:val="single" w:sz="12" w:space="0" w:color="auto"/>
              <w:left w:val="single" w:sz="4" w:space="0" w:color="auto"/>
              <w:bottom w:val="single" w:sz="4" w:space="0" w:color="auto"/>
              <w:right w:val="single" w:sz="4" w:space="0" w:color="auto"/>
            </w:tcBorders>
            <w:shd w:val="clear" w:color="auto" w:fill="FFFF00"/>
            <w:vAlign w:val="center"/>
          </w:tcPr>
          <w:p w14:paraId="0624EC2C" w14:textId="77777777" w:rsidR="008728DD" w:rsidRPr="008B11BA" w:rsidRDefault="008728DD" w:rsidP="00A7577D">
            <w:pPr>
              <w:jc w:val="center"/>
              <w:rPr>
                <w:rFonts w:cs="Arial"/>
                <w:sz w:val="18"/>
                <w:szCs w:val="18"/>
              </w:rPr>
            </w:pPr>
            <w:r w:rsidRPr="008B11BA">
              <w:rPr>
                <w:rFonts w:cs="Arial"/>
                <w:sz w:val="18"/>
                <w:szCs w:val="18"/>
              </w:rPr>
              <w:t>5.1% - 3.54%</w:t>
            </w:r>
          </w:p>
        </w:tc>
      </w:tr>
      <w:tr w:rsidR="008728DD" w14:paraId="50838306" w14:textId="77777777" w:rsidTr="00A7577D">
        <w:trPr>
          <w:trHeight w:val="443"/>
        </w:trPr>
        <w:tc>
          <w:tcPr>
            <w:tcW w:w="1022" w:type="dxa"/>
            <w:vMerge/>
            <w:tcBorders>
              <w:left w:val="single" w:sz="2" w:space="0" w:color="auto"/>
              <w:bottom w:val="single" w:sz="12" w:space="0" w:color="auto"/>
              <w:right w:val="single" w:sz="2" w:space="0" w:color="auto"/>
            </w:tcBorders>
            <w:shd w:val="clear" w:color="auto" w:fill="auto"/>
            <w:vAlign w:val="center"/>
          </w:tcPr>
          <w:p w14:paraId="764E391E" w14:textId="77777777" w:rsidR="008728DD" w:rsidRPr="00E1340F" w:rsidRDefault="008728DD" w:rsidP="00A7577D">
            <w:pPr>
              <w:jc w:val="center"/>
              <w:rPr>
                <w:rFonts w:cs="Arial"/>
                <w:b/>
                <w:color w:val="000000" w:themeColor="text1"/>
                <w:sz w:val="18"/>
                <w:szCs w:val="18"/>
              </w:rPr>
            </w:pP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31F21801" w14:textId="77777777" w:rsidR="008728DD" w:rsidRPr="00E1340F" w:rsidRDefault="008728DD" w:rsidP="00A7577D">
            <w:pPr>
              <w:jc w:val="center"/>
              <w:rPr>
                <w:rFonts w:cs="Arial"/>
                <w:b/>
                <w:color w:val="000000" w:themeColor="text1"/>
                <w:sz w:val="18"/>
                <w:szCs w:val="18"/>
              </w:rPr>
            </w:pPr>
            <w:r>
              <w:rPr>
                <w:rFonts w:cs="Arial"/>
                <w:color w:val="000000" w:themeColor="text1"/>
                <w:sz w:val="18"/>
                <w:szCs w:val="18"/>
              </w:rPr>
              <w:t>% AMBER</w:t>
            </w:r>
          </w:p>
        </w:tc>
        <w:tc>
          <w:tcPr>
            <w:tcW w:w="1134" w:type="dxa"/>
            <w:tcBorders>
              <w:top w:val="single" w:sz="2" w:space="0" w:color="auto"/>
              <w:left w:val="single" w:sz="2" w:space="0" w:color="auto"/>
              <w:bottom w:val="single" w:sz="12" w:space="0" w:color="auto"/>
              <w:right w:val="single" w:sz="2" w:space="0" w:color="auto"/>
            </w:tcBorders>
            <w:shd w:val="clear" w:color="auto" w:fill="FF0000"/>
            <w:vAlign w:val="center"/>
          </w:tcPr>
          <w:p w14:paraId="2F8FAB9E" w14:textId="77777777" w:rsidR="008728DD" w:rsidRPr="008B11BA" w:rsidRDefault="008728DD" w:rsidP="00A7577D">
            <w:pPr>
              <w:jc w:val="center"/>
              <w:rPr>
                <w:rFonts w:cs="Arial"/>
                <w:b/>
                <w:color w:val="FFFFFF" w:themeColor="background1"/>
                <w:sz w:val="18"/>
                <w:szCs w:val="18"/>
              </w:rPr>
            </w:pPr>
            <w:r w:rsidRPr="008B11BA">
              <w:rPr>
                <w:rFonts w:cs="Arial"/>
                <w:b/>
                <w:color w:val="FFFFFF" w:themeColor="background1"/>
                <w:sz w:val="18"/>
                <w:szCs w:val="18"/>
              </w:rPr>
              <w:t>&gt;32.78%</w:t>
            </w:r>
          </w:p>
        </w:tc>
        <w:tc>
          <w:tcPr>
            <w:tcW w:w="1474" w:type="dxa"/>
            <w:tcBorders>
              <w:top w:val="single" w:sz="2" w:space="0" w:color="auto"/>
              <w:left w:val="single" w:sz="2" w:space="0" w:color="auto"/>
              <w:bottom w:val="single" w:sz="12" w:space="0" w:color="auto"/>
              <w:right w:val="single" w:sz="2" w:space="0" w:color="auto"/>
            </w:tcBorders>
            <w:shd w:val="clear" w:color="auto" w:fill="FFC000"/>
            <w:vAlign w:val="center"/>
          </w:tcPr>
          <w:p w14:paraId="35B78A4A"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32.78% - 28.87%</w:t>
            </w:r>
          </w:p>
        </w:tc>
        <w:tc>
          <w:tcPr>
            <w:tcW w:w="1474" w:type="dxa"/>
            <w:tcBorders>
              <w:top w:val="single" w:sz="2" w:space="0" w:color="auto"/>
              <w:left w:val="single" w:sz="2" w:space="0" w:color="auto"/>
              <w:bottom w:val="single" w:sz="12" w:space="0" w:color="auto"/>
              <w:right w:val="single" w:sz="2" w:space="0" w:color="auto"/>
            </w:tcBorders>
            <w:shd w:val="clear" w:color="auto" w:fill="FFFF00"/>
            <w:vAlign w:val="center"/>
          </w:tcPr>
          <w:p w14:paraId="5D411412"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28.87% - 24.92%</w:t>
            </w:r>
          </w:p>
        </w:tc>
        <w:tc>
          <w:tcPr>
            <w:tcW w:w="1474" w:type="dxa"/>
            <w:tcBorders>
              <w:top w:val="single" w:sz="2" w:space="0" w:color="auto"/>
              <w:left w:val="single" w:sz="2" w:space="0" w:color="auto"/>
              <w:bottom w:val="single" w:sz="12" w:space="0" w:color="auto"/>
              <w:right w:val="single" w:sz="2" w:space="0" w:color="auto"/>
            </w:tcBorders>
            <w:shd w:val="clear" w:color="auto" w:fill="92D050"/>
            <w:vAlign w:val="center"/>
          </w:tcPr>
          <w:p w14:paraId="24ABD28E"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24.92% - 22.38%</w:t>
            </w:r>
          </w:p>
        </w:tc>
        <w:tc>
          <w:tcPr>
            <w:tcW w:w="1276" w:type="dxa"/>
            <w:tcBorders>
              <w:top w:val="single" w:sz="2" w:space="0" w:color="auto"/>
              <w:left w:val="single" w:sz="2" w:space="0" w:color="auto"/>
              <w:bottom w:val="single" w:sz="12" w:space="0" w:color="auto"/>
              <w:right w:val="single" w:sz="4" w:space="0" w:color="auto"/>
            </w:tcBorders>
            <w:shd w:val="clear" w:color="auto" w:fill="00B050"/>
            <w:vAlign w:val="center"/>
          </w:tcPr>
          <w:p w14:paraId="6EB94728"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≤22.38%</w:t>
            </w:r>
          </w:p>
        </w:tc>
        <w:tc>
          <w:tcPr>
            <w:tcW w:w="1276" w:type="dxa"/>
            <w:tcBorders>
              <w:top w:val="single" w:sz="4" w:space="0" w:color="auto"/>
              <w:left w:val="single" w:sz="4" w:space="0" w:color="auto"/>
              <w:bottom w:val="single" w:sz="12" w:space="0" w:color="auto"/>
              <w:right w:val="single" w:sz="4" w:space="0" w:color="auto"/>
            </w:tcBorders>
            <w:shd w:val="clear" w:color="auto" w:fill="FFC000"/>
            <w:vAlign w:val="center"/>
          </w:tcPr>
          <w:p w14:paraId="54EBC4DD" w14:textId="77777777" w:rsidR="008728DD" w:rsidRPr="004E4903" w:rsidRDefault="008728DD" w:rsidP="00A7577D">
            <w:pPr>
              <w:jc w:val="center"/>
              <w:rPr>
                <w:rFonts w:cs="Arial"/>
                <w:color w:val="000000" w:themeColor="text1"/>
                <w:sz w:val="18"/>
                <w:szCs w:val="18"/>
              </w:rPr>
            </w:pPr>
            <w:r w:rsidRPr="005D4914">
              <w:rPr>
                <w:rFonts w:cs="Arial"/>
                <w:color w:val="000000" w:themeColor="text1"/>
                <w:sz w:val="18"/>
                <w:szCs w:val="18"/>
                <w:highlight w:val="yellow"/>
              </w:rPr>
              <w:t>28.87%</w:t>
            </w:r>
            <w:r>
              <w:rPr>
                <w:rFonts w:cs="Arial"/>
                <w:color w:val="000000" w:themeColor="text1"/>
                <w:sz w:val="18"/>
                <w:szCs w:val="18"/>
              </w:rPr>
              <w:t>*</w:t>
            </w:r>
          </w:p>
        </w:tc>
        <w:tc>
          <w:tcPr>
            <w:tcW w:w="1474" w:type="dxa"/>
            <w:tcBorders>
              <w:top w:val="single" w:sz="4" w:space="0" w:color="auto"/>
              <w:left w:val="single" w:sz="4" w:space="0" w:color="auto"/>
              <w:bottom w:val="single" w:sz="12" w:space="0" w:color="auto"/>
              <w:right w:val="single" w:sz="4" w:space="0" w:color="auto"/>
            </w:tcBorders>
            <w:shd w:val="clear" w:color="auto" w:fill="FFC000"/>
            <w:vAlign w:val="center"/>
          </w:tcPr>
          <w:p w14:paraId="73EC2B86"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 xml:space="preserve">31.40% - 27.77% </w:t>
            </w:r>
          </w:p>
        </w:tc>
        <w:tc>
          <w:tcPr>
            <w:tcW w:w="2081" w:type="dxa"/>
            <w:tcBorders>
              <w:top w:val="single" w:sz="4" w:space="0" w:color="auto"/>
              <w:left w:val="single" w:sz="4" w:space="0" w:color="auto"/>
              <w:bottom w:val="single" w:sz="12" w:space="0" w:color="auto"/>
              <w:right w:val="single" w:sz="4" w:space="0" w:color="auto"/>
            </w:tcBorders>
            <w:shd w:val="clear" w:color="auto" w:fill="FFFF00"/>
            <w:vAlign w:val="center"/>
          </w:tcPr>
          <w:p w14:paraId="464E9A55" w14:textId="77777777" w:rsidR="008728DD" w:rsidRPr="008B11BA" w:rsidRDefault="008728DD" w:rsidP="00A7577D">
            <w:pPr>
              <w:jc w:val="center"/>
              <w:rPr>
                <w:rFonts w:cs="Arial"/>
                <w:color w:val="000000" w:themeColor="text1"/>
                <w:sz w:val="18"/>
                <w:szCs w:val="18"/>
              </w:rPr>
            </w:pPr>
            <w:r w:rsidRPr="008B11BA">
              <w:rPr>
                <w:rFonts w:cs="Arial"/>
                <w:color w:val="000000" w:themeColor="text1"/>
                <w:sz w:val="18"/>
                <w:szCs w:val="18"/>
              </w:rPr>
              <w:t>28.87% - 24.92%</w:t>
            </w:r>
          </w:p>
        </w:tc>
      </w:tr>
    </w:tbl>
    <w:p w14:paraId="78D366E3" w14:textId="611EF9B7" w:rsidR="001E469F" w:rsidRDefault="001E469F" w:rsidP="009F12CE">
      <w:pPr>
        <w:spacing w:after="0"/>
        <w:jc w:val="both"/>
        <w:rPr>
          <w:rFonts w:cs="Arial"/>
          <w:color w:val="000000" w:themeColor="text1"/>
          <w:sz w:val="22"/>
        </w:rPr>
      </w:pPr>
    </w:p>
    <w:p w14:paraId="7C5EC701" w14:textId="7ED34B42" w:rsidR="001E469F" w:rsidRDefault="001E469F" w:rsidP="009F12CE">
      <w:pPr>
        <w:spacing w:after="0"/>
        <w:jc w:val="both"/>
        <w:rPr>
          <w:rFonts w:cs="Arial"/>
          <w:color w:val="000000" w:themeColor="text1"/>
          <w:sz w:val="22"/>
        </w:rPr>
      </w:pPr>
    </w:p>
    <w:p w14:paraId="237D2584" w14:textId="060EBE71" w:rsidR="008728DD" w:rsidRDefault="008728DD" w:rsidP="008728DD">
      <w:pPr>
        <w:pStyle w:val="ListParagraph"/>
        <w:spacing w:after="160" w:line="259" w:lineRule="auto"/>
      </w:pPr>
      <w:r>
        <w:t>*  The condition scores of these two assets are on the exact grade boundary between two service standards – hence why they have two colours associated with them</w:t>
      </w:r>
    </w:p>
    <w:p w14:paraId="0AFB2ECC" w14:textId="613EF97C" w:rsidR="008728DD" w:rsidRDefault="008728DD" w:rsidP="009F12CE">
      <w:pPr>
        <w:spacing w:after="0"/>
        <w:jc w:val="both"/>
        <w:rPr>
          <w:rFonts w:cs="Arial"/>
          <w:color w:val="000000" w:themeColor="text1"/>
          <w:sz w:val="22"/>
        </w:rPr>
      </w:pPr>
    </w:p>
    <w:p w14:paraId="5031B591" w14:textId="77777777" w:rsidR="008728DD" w:rsidRDefault="008728DD" w:rsidP="009F12CE">
      <w:pPr>
        <w:spacing w:after="0"/>
        <w:jc w:val="both"/>
        <w:rPr>
          <w:rFonts w:cs="Arial"/>
          <w:color w:val="000000" w:themeColor="text1"/>
          <w:sz w:val="22"/>
        </w:rPr>
      </w:pPr>
    </w:p>
    <w:p w14:paraId="5D538E04" w14:textId="672ED38B" w:rsidR="001E469F" w:rsidRPr="008728DD" w:rsidRDefault="004A1D73" w:rsidP="009F12CE">
      <w:pPr>
        <w:spacing w:after="0"/>
        <w:jc w:val="both"/>
        <w:rPr>
          <w:rFonts w:cs="Arial"/>
          <w:b/>
          <w:bCs/>
          <w:color w:val="000000" w:themeColor="text1"/>
          <w:szCs w:val="24"/>
        </w:rPr>
      </w:pPr>
      <w:bookmarkStart w:id="1" w:name="_Hlk69376162"/>
      <w:bookmarkStart w:id="2" w:name="_Hlk69376243"/>
      <w:r w:rsidRPr="008728DD">
        <w:rPr>
          <w:rFonts w:cs="Arial"/>
          <w:b/>
          <w:bCs/>
          <w:color w:val="000000" w:themeColor="text1"/>
          <w:szCs w:val="24"/>
        </w:rPr>
        <w:t>Structures Service Standard</w:t>
      </w:r>
      <w:r w:rsidR="008728DD">
        <w:rPr>
          <w:rFonts w:cs="Arial"/>
          <w:b/>
          <w:bCs/>
          <w:color w:val="000000" w:themeColor="text1"/>
          <w:szCs w:val="24"/>
        </w:rPr>
        <w:t xml:space="preserve">s </w:t>
      </w:r>
      <w:r w:rsidR="008728DD">
        <w:rPr>
          <w:b/>
        </w:rPr>
        <w:t>2020/21 – 2024/25</w:t>
      </w:r>
    </w:p>
    <w:p w14:paraId="59C1CE48" w14:textId="7B1395F1" w:rsidR="001E469F" w:rsidRDefault="001E469F" w:rsidP="009F12CE">
      <w:pPr>
        <w:spacing w:after="0"/>
        <w:jc w:val="both"/>
        <w:rPr>
          <w:rFonts w:cs="Arial"/>
          <w:color w:val="000000" w:themeColor="text1"/>
          <w:sz w:val="22"/>
        </w:rPr>
      </w:pPr>
    </w:p>
    <w:tbl>
      <w:tblPr>
        <w:tblW w:w="14179" w:type="dxa"/>
        <w:tblInd w:w="108" w:type="dxa"/>
        <w:tblCellMar>
          <w:left w:w="0" w:type="dxa"/>
          <w:right w:w="0" w:type="dxa"/>
        </w:tblCellMar>
        <w:tblLook w:val="04A0" w:firstRow="1" w:lastRow="0" w:firstColumn="1" w:lastColumn="0" w:noHBand="0" w:noVBand="1"/>
      </w:tblPr>
      <w:tblGrid>
        <w:gridCol w:w="1288"/>
        <w:gridCol w:w="1056"/>
        <w:gridCol w:w="1069"/>
        <w:gridCol w:w="1447"/>
        <w:gridCol w:w="1090"/>
        <w:gridCol w:w="1103"/>
        <w:gridCol w:w="1287"/>
        <w:gridCol w:w="2948"/>
        <w:gridCol w:w="2891"/>
      </w:tblGrid>
      <w:tr w:rsidR="00D55DA5" w:rsidRPr="00A65321" w14:paraId="06F2D125" w14:textId="77777777" w:rsidTr="005A35FD">
        <w:trPr>
          <w:trHeight w:val="283"/>
        </w:trPr>
        <w:tc>
          <w:tcPr>
            <w:tcW w:w="128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41359D83" w14:textId="58491D8C" w:rsidR="00D55DA5" w:rsidRPr="00A65321" w:rsidRDefault="00D55DA5" w:rsidP="00D55DA5">
            <w:pPr>
              <w:spacing w:after="0"/>
              <w:jc w:val="center"/>
              <w:rPr>
                <w:rFonts w:cs="Arial"/>
                <w:b/>
                <w:bCs/>
                <w:color w:val="000000"/>
                <w:sz w:val="18"/>
                <w:szCs w:val="18"/>
              </w:rPr>
            </w:pPr>
            <w:r w:rsidRPr="00A65321">
              <w:rPr>
                <w:rFonts w:cs="Arial"/>
                <w:b/>
                <w:bCs/>
                <w:color w:val="000000"/>
                <w:sz w:val="18"/>
                <w:szCs w:val="18"/>
              </w:rPr>
              <w:t>Bridges Asset Category</w:t>
            </w:r>
          </w:p>
        </w:tc>
        <w:tc>
          <w:tcPr>
            <w:tcW w:w="1056"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0E88434" w14:textId="77777777" w:rsidR="00D55DA5" w:rsidRPr="00A65321" w:rsidRDefault="00D55DA5" w:rsidP="00D55DA5">
            <w:pPr>
              <w:spacing w:after="0"/>
              <w:jc w:val="center"/>
              <w:rPr>
                <w:rFonts w:cs="Arial"/>
                <w:b/>
                <w:bCs/>
                <w:color w:val="000000"/>
                <w:sz w:val="18"/>
                <w:szCs w:val="18"/>
              </w:rPr>
            </w:pPr>
            <w:r w:rsidRPr="00A65321">
              <w:rPr>
                <w:rFonts w:cs="Arial"/>
                <w:b/>
                <w:bCs/>
                <w:color w:val="000000"/>
                <w:sz w:val="18"/>
                <w:szCs w:val="18"/>
              </w:rPr>
              <w:t>Condition Measure</w:t>
            </w:r>
          </w:p>
        </w:tc>
        <w:tc>
          <w:tcPr>
            <w:tcW w:w="599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830DE6" w14:textId="6E28839E" w:rsidR="00D55DA5" w:rsidRPr="00A65321" w:rsidRDefault="00D55DA5" w:rsidP="00D55DA5">
            <w:pPr>
              <w:spacing w:after="0" w:line="240" w:lineRule="auto"/>
              <w:jc w:val="center"/>
              <w:rPr>
                <w:rFonts w:cs="Arial"/>
                <w:b/>
                <w:bCs/>
                <w:color w:val="000000"/>
                <w:sz w:val="18"/>
                <w:szCs w:val="18"/>
              </w:rPr>
            </w:pPr>
            <w:r w:rsidRPr="00A65321">
              <w:rPr>
                <w:rFonts w:cs="Arial"/>
                <w:b/>
                <w:bCs/>
                <w:color w:val="000000"/>
                <w:sz w:val="18"/>
                <w:szCs w:val="18"/>
              </w:rPr>
              <w:t>LCC Service Standard</w:t>
            </w:r>
          </w:p>
        </w:tc>
        <w:tc>
          <w:tcPr>
            <w:tcW w:w="5839" w:type="dxa"/>
            <w:gridSpan w:val="2"/>
            <w:tcBorders>
              <w:top w:val="single" w:sz="8" w:space="0" w:color="auto"/>
              <w:left w:val="nil"/>
              <w:bottom w:val="single" w:sz="8" w:space="0" w:color="auto"/>
              <w:right w:val="single" w:sz="8" w:space="0" w:color="auto"/>
            </w:tcBorders>
            <w:vAlign w:val="center"/>
          </w:tcPr>
          <w:p w14:paraId="1F687F92" w14:textId="57CAEEBC" w:rsidR="00D55DA5" w:rsidRPr="00A65321" w:rsidRDefault="00D55DA5" w:rsidP="00D55DA5">
            <w:pPr>
              <w:spacing w:after="0" w:line="240" w:lineRule="auto"/>
              <w:jc w:val="center"/>
              <w:rPr>
                <w:rFonts w:cs="Arial"/>
                <w:b/>
                <w:bCs/>
                <w:color w:val="000000"/>
                <w:sz w:val="18"/>
                <w:szCs w:val="18"/>
              </w:rPr>
            </w:pPr>
            <w:r w:rsidRPr="00A65321">
              <w:rPr>
                <w:rFonts w:cs="Arial"/>
                <w:b/>
                <w:bCs/>
                <w:color w:val="000000"/>
                <w:sz w:val="18"/>
                <w:szCs w:val="18"/>
              </w:rPr>
              <w:t>Asset Condition</w:t>
            </w:r>
          </w:p>
        </w:tc>
      </w:tr>
      <w:tr w:rsidR="005A35FD" w14:paraId="446C022D" w14:textId="77777777" w:rsidTr="005A35FD">
        <w:trPr>
          <w:trHeight w:val="397"/>
        </w:trPr>
        <w:tc>
          <w:tcPr>
            <w:tcW w:w="1288" w:type="dxa"/>
            <w:vMerge/>
            <w:tcBorders>
              <w:left w:val="single" w:sz="8" w:space="0" w:color="auto"/>
              <w:right w:val="single" w:sz="8" w:space="0" w:color="auto"/>
            </w:tcBorders>
            <w:vAlign w:val="center"/>
            <w:hideMark/>
          </w:tcPr>
          <w:p w14:paraId="2C4E2866" w14:textId="77777777" w:rsidR="005A35FD" w:rsidRPr="00A65321" w:rsidRDefault="005A35FD" w:rsidP="00D55DA5">
            <w:pPr>
              <w:spacing w:after="0"/>
              <w:rPr>
                <w:rFonts w:cs="Arial"/>
                <w:b/>
                <w:bCs/>
                <w:color w:val="000000"/>
                <w:sz w:val="18"/>
                <w:szCs w:val="18"/>
              </w:rPr>
            </w:pPr>
          </w:p>
        </w:tc>
        <w:tc>
          <w:tcPr>
            <w:tcW w:w="1056" w:type="dxa"/>
            <w:vMerge/>
            <w:tcBorders>
              <w:left w:val="nil"/>
              <w:right w:val="single" w:sz="8" w:space="0" w:color="auto"/>
            </w:tcBorders>
            <w:vAlign w:val="center"/>
            <w:hideMark/>
          </w:tcPr>
          <w:p w14:paraId="4D708E1F" w14:textId="77777777" w:rsidR="005A35FD" w:rsidRPr="00A65321" w:rsidRDefault="005A35FD" w:rsidP="00D55DA5">
            <w:pPr>
              <w:spacing w:after="0"/>
              <w:rPr>
                <w:rFonts w:cs="Arial"/>
                <w:b/>
                <w:bCs/>
                <w:color w:val="000000"/>
                <w:sz w:val="18"/>
                <w:szCs w:val="18"/>
              </w:rPr>
            </w:pPr>
          </w:p>
        </w:tc>
        <w:tc>
          <w:tcPr>
            <w:tcW w:w="10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72091686" w14:textId="7A9EE598" w:rsidR="005A35FD" w:rsidRPr="00A65321" w:rsidRDefault="005A35FD" w:rsidP="00D55DA5">
            <w:pPr>
              <w:spacing w:after="0"/>
              <w:jc w:val="center"/>
              <w:rPr>
                <w:rFonts w:cs="Arial"/>
                <w:b/>
                <w:bCs/>
                <w:color w:val="000000" w:themeColor="text1"/>
                <w:sz w:val="18"/>
                <w:szCs w:val="18"/>
              </w:rPr>
            </w:pPr>
            <w:r w:rsidRPr="00A65321">
              <w:rPr>
                <w:rFonts w:cs="Arial"/>
                <w:b/>
                <w:bCs/>
                <w:color w:val="000000" w:themeColor="text1"/>
                <w:sz w:val="18"/>
                <w:szCs w:val="18"/>
              </w:rPr>
              <w:t>POOR</w:t>
            </w:r>
          </w:p>
        </w:tc>
        <w:tc>
          <w:tcPr>
            <w:tcW w:w="144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1B1F5A9" w14:textId="5915CA36" w:rsidR="005A35FD" w:rsidRPr="00A65321" w:rsidRDefault="005A35FD" w:rsidP="00D55DA5">
            <w:pPr>
              <w:spacing w:after="0"/>
              <w:jc w:val="center"/>
              <w:rPr>
                <w:rFonts w:cs="Arial"/>
                <w:b/>
                <w:bCs/>
                <w:color w:val="000000" w:themeColor="text1"/>
                <w:sz w:val="18"/>
                <w:szCs w:val="18"/>
              </w:rPr>
            </w:pPr>
            <w:r w:rsidRPr="00A65321">
              <w:rPr>
                <w:rFonts w:cs="Arial"/>
                <w:b/>
                <w:bCs/>
                <w:color w:val="000000" w:themeColor="text1"/>
                <w:sz w:val="18"/>
                <w:szCs w:val="18"/>
              </w:rPr>
              <w:t>ACCEPTABLE</w:t>
            </w:r>
          </w:p>
        </w:tc>
        <w:tc>
          <w:tcPr>
            <w:tcW w:w="109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32A2C4A" w14:textId="77777777" w:rsidR="005A35FD" w:rsidRPr="00A65321" w:rsidRDefault="005A35FD" w:rsidP="00D55DA5">
            <w:pPr>
              <w:spacing w:after="0"/>
              <w:jc w:val="center"/>
              <w:rPr>
                <w:rFonts w:cs="Arial"/>
                <w:b/>
                <w:bCs/>
                <w:color w:val="000000" w:themeColor="text1"/>
                <w:sz w:val="18"/>
                <w:szCs w:val="18"/>
              </w:rPr>
            </w:pPr>
            <w:r w:rsidRPr="00A65321">
              <w:rPr>
                <w:rFonts w:cs="Arial"/>
                <w:b/>
                <w:bCs/>
                <w:color w:val="000000" w:themeColor="text1"/>
                <w:sz w:val="18"/>
                <w:szCs w:val="18"/>
              </w:rPr>
              <w:t>FAIR</w:t>
            </w:r>
          </w:p>
        </w:tc>
        <w:tc>
          <w:tcPr>
            <w:tcW w:w="1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03F1C8D6" w14:textId="77777777" w:rsidR="005A35FD" w:rsidRPr="00A65321" w:rsidRDefault="005A35FD" w:rsidP="00D55DA5">
            <w:pPr>
              <w:spacing w:after="0"/>
              <w:jc w:val="center"/>
              <w:rPr>
                <w:rFonts w:cs="Arial"/>
                <w:b/>
                <w:bCs/>
                <w:color w:val="000000" w:themeColor="text1"/>
                <w:sz w:val="18"/>
                <w:szCs w:val="18"/>
              </w:rPr>
            </w:pPr>
            <w:r w:rsidRPr="00A65321">
              <w:rPr>
                <w:rFonts w:cs="Arial"/>
                <w:b/>
                <w:bCs/>
                <w:color w:val="000000" w:themeColor="text1"/>
                <w:sz w:val="18"/>
                <w:szCs w:val="18"/>
              </w:rPr>
              <w:t>GOOD</w:t>
            </w:r>
          </w:p>
        </w:tc>
        <w:tc>
          <w:tcPr>
            <w:tcW w:w="1287"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6DB264D3" w14:textId="247555BE" w:rsidR="005A35FD" w:rsidRPr="00A65321" w:rsidRDefault="005A35FD" w:rsidP="00D55DA5">
            <w:pPr>
              <w:spacing w:after="0"/>
              <w:jc w:val="center"/>
              <w:rPr>
                <w:rFonts w:cs="Arial"/>
                <w:b/>
                <w:bCs/>
                <w:color w:val="000000" w:themeColor="text1"/>
                <w:sz w:val="18"/>
                <w:szCs w:val="18"/>
              </w:rPr>
            </w:pPr>
            <w:r w:rsidRPr="00A65321">
              <w:rPr>
                <w:rFonts w:cs="Arial"/>
                <w:b/>
                <w:bCs/>
                <w:color w:val="000000" w:themeColor="text1"/>
                <w:sz w:val="18"/>
                <w:szCs w:val="18"/>
              </w:rPr>
              <w:t>EXCELLENT</w:t>
            </w:r>
          </w:p>
        </w:tc>
        <w:tc>
          <w:tcPr>
            <w:tcW w:w="29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D2F47E" w14:textId="7C2A5A51" w:rsidR="005A35FD" w:rsidRPr="00A65321" w:rsidRDefault="005A35FD" w:rsidP="00D55DA5">
            <w:pPr>
              <w:spacing w:after="0"/>
              <w:jc w:val="center"/>
              <w:rPr>
                <w:rFonts w:cs="Arial"/>
                <w:b/>
                <w:bCs/>
                <w:color w:val="000000"/>
                <w:sz w:val="18"/>
                <w:szCs w:val="18"/>
              </w:rPr>
            </w:pPr>
            <w:r w:rsidRPr="00A65321">
              <w:rPr>
                <w:rFonts w:cs="Arial"/>
                <w:b/>
                <w:bCs/>
                <w:color w:val="000000"/>
                <w:sz w:val="18"/>
                <w:szCs w:val="18"/>
              </w:rPr>
              <w:t>2019/20</w:t>
            </w:r>
          </w:p>
        </w:tc>
        <w:tc>
          <w:tcPr>
            <w:tcW w:w="28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A6E74" w14:textId="0E8EFA23" w:rsidR="005A35FD" w:rsidRPr="00A65321" w:rsidRDefault="005A35FD" w:rsidP="00D55DA5">
            <w:pPr>
              <w:spacing w:after="0"/>
              <w:jc w:val="center"/>
              <w:rPr>
                <w:rFonts w:cs="Arial"/>
                <w:b/>
                <w:bCs/>
                <w:color w:val="000000"/>
                <w:sz w:val="18"/>
                <w:szCs w:val="18"/>
              </w:rPr>
            </w:pPr>
            <w:r w:rsidRPr="00A65321">
              <w:rPr>
                <w:b/>
                <w:bCs/>
                <w:color w:val="000000" w:themeColor="text1"/>
                <w:sz w:val="18"/>
                <w:szCs w:val="18"/>
              </w:rPr>
              <w:t>2024/25 - End of TAMP Phase 2</w:t>
            </w:r>
          </w:p>
        </w:tc>
      </w:tr>
      <w:tr w:rsidR="005A35FD" w14:paraId="14486DAA" w14:textId="77777777" w:rsidTr="005A35FD">
        <w:trPr>
          <w:trHeight w:val="283"/>
        </w:trPr>
        <w:tc>
          <w:tcPr>
            <w:tcW w:w="128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E02F8E0" w14:textId="77777777" w:rsidR="005A35FD" w:rsidRPr="00A65321" w:rsidRDefault="005A35FD" w:rsidP="00D55DA5">
            <w:pPr>
              <w:spacing w:after="0"/>
              <w:jc w:val="center"/>
              <w:rPr>
                <w:rFonts w:cs="Arial"/>
                <w:b/>
                <w:bCs/>
                <w:color w:val="000000"/>
                <w:sz w:val="18"/>
                <w:szCs w:val="18"/>
              </w:rPr>
            </w:pPr>
          </w:p>
        </w:tc>
        <w:tc>
          <w:tcPr>
            <w:tcW w:w="1056" w:type="dxa"/>
            <w:vMerge/>
            <w:tcBorders>
              <w:left w:val="nil"/>
              <w:bottom w:val="single" w:sz="8" w:space="0" w:color="auto"/>
              <w:right w:val="single" w:sz="8" w:space="0" w:color="auto"/>
            </w:tcBorders>
            <w:tcMar>
              <w:top w:w="0" w:type="dxa"/>
              <w:left w:w="108" w:type="dxa"/>
              <w:bottom w:w="0" w:type="dxa"/>
              <w:right w:w="108" w:type="dxa"/>
            </w:tcMar>
            <w:vAlign w:val="center"/>
          </w:tcPr>
          <w:p w14:paraId="13128889" w14:textId="77777777" w:rsidR="005A35FD" w:rsidRPr="00A65321" w:rsidRDefault="005A35FD" w:rsidP="00D55DA5">
            <w:pPr>
              <w:spacing w:after="0"/>
              <w:jc w:val="center"/>
              <w:rPr>
                <w:rFonts w:cs="Arial"/>
                <w:color w:val="000000"/>
                <w:sz w:val="18"/>
                <w:szCs w:val="18"/>
              </w:rPr>
            </w:pPr>
          </w:p>
        </w:tc>
        <w:tc>
          <w:tcPr>
            <w:tcW w:w="599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9A6147" w14:textId="37BE6C15" w:rsidR="005A35FD" w:rsidRPr="00A65321" w:rsidRDefault="005A35FD" w:rsidP="00D55DA5">
            <w:pPr>
              <w:spacing w:after="0"/>
              <w:jc w:val="center"/>
              <w:rPr>
                <w:rFonts w:cs="Arial"/>
                <w:b/>
                <w:bCs/>
                <w:color w:val="000000"/>
                <w:sz w:val="18"/>
                <w:szCs w:val="18"/>
              </w:rPr>
            </w:pPr>
            <w:r>
              <w:rPr>
                <w:rFonts w:cs="Arial"/>
                <w:b/>
                <w:bCs/>
                <w:color w:val="000000"/>
                <w:sz w:val="18"/>
                <w:szCs w:val="18"/>
              </w:rPr>
              <w:t>Structures National Guidance</w:t>
            </w:r>
            <w:r w:rsidRPr="00A65321">
              <w:rPr>
                <w:rFonts w:cs="Arial"/>
                <w:b/>
                <w:bCs/>
                <w:color w:val="000000"/>
                <w:sz w:val="18"/>
                <w:szCs w:val="18"/>
              </w:rPr>
              <w:t xml:space="preserve"> Service Standard</w:t>
            </w:r>
          </w:p>
        </w:tc>
        <w:tc>
          <w:tcPr>
            <w:tcW w:w="2948"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92D396" w14:textId="77777777" w:rsidR="005A35FD" w:rsidRPr="00A65321" w:rsidRDefault="005A35FD" w:rsidP="00D55DA5">
            <w:pPr>
              <w:spacing w:after="0"/>
              <w:jc w:val="center"/>
              <w:rPr>
                <w:rFonts w:cs="Arial"/>
                <w:color w:val="000000"/>
                <w:sz w:val="18"/>
                <w:szCs w:val="18"/>
              </w:rPr>
            </w:pPr>
          </w:p>
        </w:tc>
        <w:tc>
          <w:tcPr>
            <w:tcW w:w="2891"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BDF75" w14:textId="77777777" w:rsidR="005A35FD" w:rsidRPr="00A65321" w:rsidRDefault="005A35FD" w:rsidP="00D55DA5">
            <w:pPr>
              <w:spacing w:after="0"/>
              <w:jc w:val="center"/>
              <w:rPr>
                <w:rFonts w:cs="Arial"/>
                <w:color w:val="000000"/>
                <w:sz w:val="18"/>
                <w:szCs w:val="18"/>
              </w:rPr>
            </w:pPr>
          </w:p>
        </w:tc>
      </w:tr>
      <w:tr w:rsidR="00A65321" w14:paraId="35B5F154" w14:textId="77777777" w:rsidTr="005A35FD">
        <w:trPr>
          <w:trHeight w:val="443"/>
        </w:trPr>
        <w:tc>
          <w:tcPr>
            <w:tcW w:w="128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6B41F7C" w14:textId="77777777" w:rsidR="00A65321" w:rsidRPr="00A65321" w:rsidRDefault="00A65321" w:rsidP="00D55DA5">
            <w:pPr>
              <w:spacing w:after="0"/>
              <w:jc w:val="center"/>
              <w:rPr>
                <w:rFonts w:cs="Arial"/>
                <w:b/>
                <w:bCs/>
                <w:color w:val="000000"/>
                <w:sz w:val="18"/>
                <w:szCs w:val="18"/>
              </w:rPr>
            </w:pPr>
          </w:p>
        </w:tc>
        <w:tc>
          <w:tcPr>
            <w:tcW w:w="1056" w:type="dxa"/>
            <w:vMerge/>
            <w:tcBorders>
              <w:left w:val="nil"/>
              <w:bottom w:val="single" w:sz="8" w:space="0" w:color="auto"/>
              <w:right w:val="single" w:sz="8" w:space="0" w:color="auto"/>
            </w:tcBorders>
            <w:tcMar>
              <w:top w:w="0" w:type="dxa"/>
              <w:left w:w="108" w:type="dxa"/>
              <w:bottom w:w="0" w:type="dxa"/>
              <w:right w:w="108" w:type="dxa"/>
            </w:tcMar>
            <w:vAlign w:val="center"/>
          </w:tcPr>
          <w:p w14:paraId="7728CF1B" w14:textId="77777777" w:rsidR="00A65321" w:rsidRPr="00A65321" w:rsidRDefault="00A65321" w:rsidP="00D55DA5">
            <w:pPr>
              <w:spacing w:after="0"/>
              <w:jc w:val="center"/>
              <w:rPr>
                <w:rFonts w:cs="Arial"/>
                <w:color w:val="000000"/>
                <w:sz w:val="18"/>
                <w:szCs w:val="18"/>
              </w:rPr>
            </w:pPr>
          </w:p>
        </w:tc>
        <w:tc>
          <w:tcPr>
            <w:tcW w:w="10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739E30C6" w14:textId="5546A74E" w:rsidR="00A65321" w:rsidRPr="00A65321" w:rsidRDefault="00A65321" w:rsidP="00D55DA5">
            <w:pPr>
              <w:spacing w:after="0"/>
              <w:jc w:val="center"/>
              <w:rPr>
                <w:rFonts w:cs="Arial"/>
                <w:b/>
                <w:bCs/>
                <w:color w:val="000000"/>
                <w:sz w:val="18"/>
                <w:szCs w:val="18"/>
              </w:rPr>
            </w:pPr>
            <w:r w:rsidRPr="00A65321">
              <w:rPr>
                <w:rFonts w:cs="Arial"/>
                <w:b/>
                <w:bCs/>
                <w:color w:val="000000"/>
                <w:sz w:val="18"/>
                <w:szCs w:val="18"/>
              </w:rPr>
              <w:t>VERY POOR</w:t>
            </w:r>
          </w:p>
        </w:tc>
        <w:tc>
          <w:tcPr>
            <w:tcW w:w="144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16C20069" w14:textId="169521C9" w:rsidR="00A65321" w:rsidRPr="00A65321" w:rsidRDefault="00A65321" w:rsidP="00D55DA5">
            <w:pPr>
              <w:spacing w:after="0"/>
              <w:jc w:val="center"/>
              <w:rPr>
                <w:rFonts w:cs="Arial"/>
                <w:b/>
                <w:bCs/>
                <w:color w:val="000000"/>
                <w:sz w:val="18"/>
                <w:szCs w:val="18"/>
              </w:rPr>
            </w:pPr>
            <w:r w:rsidRPr="00A65321">
              <w:rPr>
                <w:rFonts w:cs="Arial"/>
                <w:b/>
                <w:bCs/>
                <w:color w:val="000000"/>
                <w:sz w:val="18"/>
                <w:szCs w:val="18"/>
              </w:rPr>
              <w:t>POOR</w:t>
            </w:r>
          </w:p>
        </w:tc>
        <w:tc>
          <w:tcPr>
            <w:tcW w:w="109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B9685F3" w14:textId="267ECAAC" w:rsidR="00A65321" w:rsidRPr="00A65321" w:rsidRDefault="00A65321" w:rsidP="00D55DA5">
            <w:pPr>
              <w:spacing w:after="0"/>
              <w:jc w:val="center"/>
              <w:rPr>
                <w:rFonts w:cs="Arial"/>
                <w:b/>
                <w:bCs/>
                <w:color w:val="FF0000"/>
                <w:sz w:val="18"/>
                <w:szCs w:val="18"/>
              </w:rPr>
            </w:pPr>
            <w:r w:rsidRPr="00A65321">
              <w:rPr>
                <w:rFonts w:cs="Arial"/>
                <w:b/>
                <w:bCs/>
                <w:color w:val="000000" w:themeColor="text1"/>
                <w:sz w:val="18"/>
                <w:szCs w:val="18"/>
              </w:rPr>
              <w:t>FAIR</w:t>
            </w:r>
          </w:p>
        </w:tc>
        <w:tc>
          <w:tcPr>
            <w:tcW w:w="1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tcPr>
          <w:p w14:paraId="489D91E5" w14:textId="20DF3BBD" w:rsidR="00A65321" w:rsidRPr="00A65321" w:rsidRDefault="00A65321" w:rsidP="00D55DA5">
            <w:pPr>
              <w:spacing w:after="0"/>
              <w:jc w:val="center"/>
              <w:rPr>
                <w:rFonts w:cs="Arial"/>
                <w:b/>
                <w:bCs/>
                <w:color w:val="000000"/>
                <w:sz w:val="18"/>
                <w:szCs w:val="18"/>
              </w:rPr>
            </w:pPr>
            <w:r w:rsidRPr="00A65321">
              <w:rPr>
                <w:rFonts w:cs="Arial"/>
                <w:b/>
                <w:bCs/>
                <w:color w:val="000000"/>
                <w:sz w:val="18"/>
                <w:szCs w:val="18"/>
              </w:rPr>
              <w:t>GOOD</w:t>
            </w:r>
          </w:p>
        </w:tc>
        <w:tc>
          <w:tcPr>
            <w:tcW w:w="1287"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14:paraId="5FF2D721" w14:textId="1F2250CA" w:rsidR="00A65321" w:rsidRPr="00A65321" w:rsidRDefault="00A65321" w:rsidP="00D55DA5">
            <w:pPr>
              <w:spacing w:after="0"/>
              <w:jc w:val="center"/>
              <w:rPr>
                <w:rFonts w:cs="Arial"/>
                <w:b/>
                <w:bCs/>
                <w:color w:val="000000"/>
                <w:sz w:val="18"/>
                <w:szCs w:val="18"/>
              </w:rPr>
            </w:pPr>
            <w:r w:rsidRPr="00A65321">
              <w:rPr>
                <w:rFonts w:cs="Arial"/>
                <w:b/>
                <w:bCs/>
                <w:color w:val="000000"/>
                <w:sz w:val="18"/>
                <w:szCs w:val="18"/>
              </w:rPr>
              <w:t>VERY GOOD</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9757B0" w14:textId="77777777" w:rsidR="007A5A66" w:rsidRDefault="007A5A66" w:rsidP="007A5A66">
            <w:pPr>
              <w:spacing w:after="0"/>
              <w:jc w:val="center"/>
              <w:rPr>
                <w:rFonts w:cs="Arial"/>
                <w:b/>
                <w:bCs/>
                <w:color w:val="000000" w:themeColor="text1"/>
                <w:sz w:val="18"/>
                <w:szCs w:val="18"/>
              </w:rPr>
            </w:pPr>
            <w:r w:rsidRPr="00A65321">
              <w:rPr>
                <w:rFonts w:cs="Arial"/>
                <w:b/>
                <w:bCs/>
                <w:color w:val="000000" w:themeColor="text1"/>
                <w:sz w:val="18"/>
                <w:szCs w:val="18"/>
              </w:rPr>
              <w:t>Base</w:t>
            </w:r>
            <w:r>
              <w:rPr>
                <w:rFonts w:cs="Arial"/>
                <w:b/>
                <w:bCs/>
                <w:color w:val="000000" w:themeColor="text1"/>
                <w:sz w:val="18"/>
                <w:szCs w:val="18"/>
              </w:rPr>
              <w:t xml:space="preserve"> Condition </w:t>
            </w:r>
          </w:p>
          <w:p w14:paraId="0233FE22" w14:textId="6C0BE928" w:rsidR="00A65321" w:rsidRPr="00A65321" w:rsidRDefault="007A5A66" w:rsidP="007A5A66">
            <w:pPr>
              <w:spacing w:after="0"/>
              <w:jc w:val="center"/>
              <w:rPr>
                <w:rFonts w:cs="Arial"/>
                <w:color w:val="000000"/>
                <w:sz w:val="18"/>
                <w:szCs w:val="18"/>
              </w:rPr>
            </w:pPr>
            <w:r>
              <w:rPr>
                <w:rFonts w:cs="Arial"/>
                <w:b/>
                <w:bCs/>
                <w:color w:val="000000" w:themeColor="text1"/>
                <w:sz w:val="18"/>
                <w:szCs w:val="18"/>
              </w:rPr>
              <w:t>(</w:t>
            </w:r>
            <w:r w:rsidRPr="00A65321">
              <w:rPr>
                <w:rFonts w:cs="Arial"/>
                <w:b/>
                <w:bCs/>
                <w:color w:val="000000" w:themeColor="text1"/>
                <w:sz w:val="18"/>
                <w:szCs w:val="18"/>
              </w:rPr>
              <w:t>Score at end of TAMP Phase 1)</w:t>
            </w:r>
          </w:p>
        </w:tc>
        <w:tc>
          <w:tcPr>
            <w:tcW w:w="2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91C78" w14:textId="3970A4A0" w:rsidR="00A65321" w:rsidRPr="00A65321" w:rsidRDefault="007A5A66" w:rsidP="00D55DA5">
            <w:pPr>
              <w:spacing w:after="0"/>
              <w:jc w:val="center"/>
              <w:rPr>
                <w:rFonts w:cs="Arial"/>
                <w:color w:val="000000"/>
                <w:sz w:val="18"/>
                <w:szCs w:val="18"/>
              </w:rPr>
            </w:pPr>
            <w:r>
              <w:rPr>
                <w:rFonts w:cs="Arial"/>
                <w:b/>
                <w:bCs/>
                <w:color w:val="000000"/>
                <w:sz w:val="18"/>
                <w:szCs w:val="18"/>
              </w:rPr>
              <w:t>Current Funding</w:t>
            </w:r>
          </w:p>
        </w:tc>
      </w:tr>
      <w:tr w:rsidR="007A5A66" w14:paraId="14222952" w14:textId="77777777" w:rsidTr="00A7577D">
        <w:trPr>
          <w:trHeight w:val="443"/>
        </w:trPr>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03B52" w14:textId="31E49909" w:rsidR="007A5A66" w:rsidRPr="00A65321" w:rsidRDefault="007A5A66" w:rsidP="00D55DA5">
            <w:pPr>
              <w:spacing w:after="0"/>
              <w:jc w:val="center"/>
              <w:rPr>
                <w:rFonts w:cs="Arial"/>
                <w:b/>
                <w:bCs/>
                <w:color w:val="000000"/>
                <w:sz w:val="18"/>
                <w:szCs w:val="18"/>
              </w:rPr>
            </w:pPr>
            <w:r w:rsidRPr="00A65321">
              <w:rPr>
                <w:rFonts w:cs="Arial"/>
                <w:b/>
                <w:bCs/>
                <w:color w:val="000000"/>
                <w:sz w:val="18"/>
                <w:szCs w:val="18"/>
              </w:rPr>
              <w:t>Planned Targeted</w:t>
            </w:r>
          </w:p>
        </w:tc>
        <w:tc>
          <w:tcPr>
            <w:tcW w:w="1056" w:type="dxa"/>
            <w:vMerge w:val="restart"/>
            <w:tcBorders>
              <w:top w:val="nil"/>
              <w:left w:val="nil"/>
              <w:right w:val="single" w:sz="8" w:space="0" w:color="auto"/>
            </w:tcBorders>
            <w:tcMar>
              <w:top w:w="0" w:type="dxa"/>
              <w:left w:w="108" w:type="dxa"/>
              <w:bottom w:w="0" w:type="dxa"/>
              <w:right w:w="108" w:type="dxa"/>
            </w:tcMar>
            <w:vAlign w:val="center"/>
            <w:hideMark/>
          </w:tcPr>
          <w:p w14:paraId="2040776E" w14:textId="0ED6A861" w:rsidR="007A5A66" w:rsidRPr="004A1D73" w:rsidRDefault="007A5A66" w:rsidP="00D55DA5">
            <w:pPr>
              <w:spacing w:after="0"/>
              <w:jc w:val="center"/>
              <w:rPr>
                <w:rFonts w:cs="Arial"/>
                <w:b/>
                <w:bCs/>
                <w:color w:val="000000"/>
                <w:sz w:val="18"/>
                <w:szCs w:val="18"/>
              </w:rPr>
            </w:pPr>
            <w:r w:rsidRPr="004A1D73">
              <w:rPr>
                <w:b/>
                <w:bCs/>
                <w:color w:val="000000" w:themeColor="text1"/>
                <w:sz w:val="18"/>
                <w:szCs w:val="18"/>
              </w:rPr>
              <w:t>Bridge Condition Index (Critical</w:t>
            </w:r>
            <w:r>
              <w:rPr>
                <w:b/>
                <w:bCs/>
                <w:color w:val="000000" w:themeColor="text1"/>
                <w:sz w:val="18"/>
                <w:szCs w:val="18"/>
              </w:rPr>
              <w:t>)</w:t>
            </w:r>
          </w:p>
        </w:tc>
        <w:tc>
          <w:tcPr>
            <w:tcW w:w="1069" w:type="dxa"/>
            <w:vMerge w:val="restart"/>
            <w:tcBorders>
              <w:top w:val="nil"/>
              <w:left w:val="nil"/>
              <w:right w:val="single" w:sz="8" w:space="0" w:color="auto"/>
            </w:tcBorders>
            <w:shd w:val="clear" w:color="auto" w:fill="FF0000"/>
            <w:tcMar>
              <w:top w:w="0" w:type="dxa"/>
              <w:left w:w="108" w:type="dxa"/>
              <w:bottom w:w="0" w:type="dxa"/>
              <w:right w:w="108" w:type="dxa"/>
            </w:tcMar>
            <w:vAlign w:val="center"/>
            <w:hideMark/>
          </w:tcPr>
          <w:p w14:paraId="64328B1B" w14:textId="5182F01D" w:rsidR="007A5A66" w:rsidRPr="007A5A66" w:rsidRDefault="007A5A66" w:rsidP="007A5A66">
            <w:pPr>
              <w:spacing w:after="0"/>
              <w:jc w:val="center"/>
              <w:rPr>
                <w:rFonts w:cs="Arial"/>
                <w:b/>
                <w:bCs/>
                <w:color w:val="000000"/>
                <w:sz w:val="18"/>
                <w:szCs w:val="18"/>
              </w:rPr>
            </w:pPr>
            <w:r w:rsidRPr="007A5A66">
              <w:rPr>
                <w:rFonts w:cs="Arial"/>
                <w:b/>
                <w:bCs/>
                <w:color w:val="000000"/>
                <w:sz w:val="18"/>
                <w:szCs w:val="18"/>
              </w:rPr>
              <w:t>&lt;40</w:t>
            </w:r>
          </w:p>
        </w:tc>
        <w:tc>
          <w:tcPr>
            <w:tcW w:w="1447" w:type="dxa"/>
            <w:vMerge w:val="restart"/>
            <w:tcBorders>
              <w:top w:val="nil"/>
              <w:left w:val="nil"/>
              <w:right w:val="single" w:sz="8" w:space="0" w:color="auto"/>
            </w:tcBorders>
            <w:shd w:val="clear" w:color="auto" w:fill="FFC000"/>
            <w:tcMar>
              <w:top w:w="0" w:type="dxa"/>
              <w:left w:w="108" w:type="dxa"/>
              <w:bottom w:w="0" w:type="dxa"/>
              <w:right w:w="108" w:type="dxa"/>
            </w:tcMar>
            <w:vAlign w:val="center"/>
            <w:hideMark/>
          </w:tcPr>
          <w:p w14:paraId="020F63FA" w14:textId="49D72273" w:rsidR="007A5A66" w:rsidRPr="007A5A66" w:rsidRDefault="007A5A66" w:rsidP="007A5A66">
            <w:pPr>
              <w:spacing w:after="0"/>
              <w:jc w:val="center"/>
              <w:rPr>
                <w:rFonts w:cs="Arial"/>
                <w:b/>
                <w:bCs/>
                <w:color w:val="000000" w:themeColor="text1"/>
                <w:sz w:val="18"/>
                <w:szCs w:val="18"/>
              </w:rPr>
            </w:pPr>
            <w:r w:rsidRPr="007A5A66">
              <w:rPr>
                <w:rFonts w:cs="Arial"/>
                <w:b/>
                <w:bCs/>
                <w:color w:val="000000" w:themeColor="text1"/>
                <w:sz w:val="18"/>
                <w:szCs w:val="18"/>
              </w:rPr>
              <w:t>40-65</w:t>
            </w:r>
          </w:p>
        </w:tc>
        <w:tc>
          <w:tcPr>
            <w:tcW w:w="1090" w:type="dxa"/>
            <w:vMerge w:val="restart"/>
            <w:tcBorders>
              <w:top w:val="nil"/>
              <w:left w:val="nil"/>
              <w:right w:val="single" w:sz="8" w:space="0" w:color="auto"/>
            </w:tcBorders>
            <w:shd w:val="clear" w:color="auto" w:fill="FFFF00"/>
            <w:tcMar>
              <w:top w:w="0" w:type="dxa"/>
              <w:left w:w="108" w:type="dxa"/>
              <w:bottom w:w="0" w:type="dxa"/>
              <w:right w:w="108" w:type="dxa"/>
            </w:tcMar>
            <w:vAlign w:val="center"/>
            <w:hideMark/>
          </w:tcPr>
          <w:p w14:paraId="237B2724" w14:textId="1C78AB5B" w:rsidR="007A5A66" w:rsidRPr="007A5A66" w:rsidRDefault="007A5A66" w:rsidP="007A5A66">
            <w:pPr>
              <w:spacing w:after="0"/>
              <w:jc w:val="center"/>
              <w:rPr>
                <w:rFonts w:cs="Arial"/>
                <w:b/>
                <w:bCs/>
                <w:color w:val="000000" w:themeColor="text1"/>
                <w:sz w:val="18"/>
                <w:szCs w:val="18"/>
              </w:rPr>
            </w:pPr>
            <w:r w:rsidRPr="007A5A66">
              <w:rPr>
                <w:rFonts w:cs="Arial"/>
                <w:b/>
                <w:bCs/>
                <w:color w:val="000000" w:themeColor="text1"/>
                <w:sz w:val="18"/>
                <w:szCs w:val="18"/>
              </w:rPr>
              <w:t>65-79</w:t>
            </w:r>
          </w:p>
        </w:tc>
        <w:tc>
          <w:tcPr>
            <w:tcW w:w="1103" w:type="dxa"/>
            <w:vMerge w:val="restart"/>
            <w:tcBorders>
              <w:top w:val="nil"/>
              <w:left w:val="nil"/>
              <w:right w:val="single" w:sz="8" w:space="0" w:color="auto"/>
            </w:tcBorders>
            <w:shd w:val="clear" w:color="auto" w:fill="92D050"/>
            <w:tcMar>
              <w:top w:w="0" w:type="dxa"/>
              <w:left w:w="108" w:type="dxa"/>
              <w:bottom w:w="0" w:type="dxa"/>
              <w:right w:w="108" w:type="dxa"/>
            </w:tcMar>
            <w:vAlign w:val="center"/>
            <w:hideMark/>
          </w:tcPr>
          <w:p w14:paraId="46996832" w14:textId="1953B205" w:rsidR="007A5A66" w:rsidRPr="007A5A66" w:rsidRDefault="007A5A66" w:rsidP="007A5A66">
            <w:pPr>
              <w:spacing w:after="0"/>
              <w:jc w:val="center"/>
              <w:rPr>
                <w:rFonts w:cs="Arial"/>
                <w:b/>
                <w:bCs/>
                <w:color w:val="000000" w:themeColor="text1"/>
                <w:sz w:val="18"/>
                <w:szCs w:val="18"/>
              </w:rPr>
            </w:pPr>
            <w:r w:rsidRPr="007A5A66">
              <w:rPr>
                <w:rFonts w:cs="Arial"/>
                <w:b/>
                <w:bCs/>
                <w:color w:val="000000" w:themeColor="text1"/>
                <w:sz w:val="18"/>
                <w:szCs w:val="18"/>
              </w:rPr>
              <w:t>80-90</w:t>
            </w:r>
          </w:p>
        </w:tc>
        <w:tc>
          <w:tcPr>
            <w:tcW w:w="1287" w:type="dxa"/>
            <w:vMerge w:val="restart"/>
            <w:tcBorders>
              <w:top w:val="nil"/>
              <w:left w:val="nil"/>
              <w:right w:val="single" w:sz="8" w:space="0" w:color="auto"/>
            </w:tcBorders>
            <w:shd w:val="clear" w:color="auto" w:fill="00B050"/>
            <w:tcMar>
              <w:top w:w="0" w:type="dxa"/>
              <w:left w:w="108" w:type="dxa"/>
              <w:bottom w:w="0" w:type="dxa"/>
              <w:right w:w="108" w:type="dxa"/>
            </w:tcMar>
            <w:vAlign w:val="center"/>
            <w:hideMark/>
          </w:tcPr>
          <w:p w14:paraId="063F2806" w14:textId="4F62B8AD" w:rsidR="007A5A66" w:rsidRPr="007A5A66" w:rsidRDefault="007A5A66" w:rsidP="007A5A66">
            <w:pPr>
              <w:spacing w:after="0"/>
              <w:jc w:val="center"/>
              <w:rPr>
                <w:rFonts w:cs="Arial"/>
                <w:b/>
                <w:bCs/>
                <w:color w:val="000000" w:themeColor="text1"/>
                <w:sz w:val="18"/>
                <w:szCs w:val="18"/>
              </w:rPr>
            </w:pPr>
            <w:r w:rsidRPr="007A5A66">
              <w:rPr>
                <w:rFonts w:cs="Arial"/>
                <w:b/>
                <w:bCs/>
                <w:color w:val="000000" w:themeColor="text1"/>
                <w:sz w:val="18"/>
                <w:szCs w:val="18"/>
              </w:rPr>
              <w:t>&gt;90</w:t>
            </w:r>
          </w:p>
        </w:tc>
        <w:tc>
          <w:tcPr>
            <w:tcW w:w="294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FEF2A33"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78.89</w:t>
            </w:r>
          </w:p>
        </w:tc>
        <w:tc>
          <w:tcPr>
            <w:tcW w:w="2891"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5532ACF5"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GOOD (80 ≤ – &lt; 90)</w:t>
            </w:r>
          </w:p>
        </w:tc>
      </w:tr>
      <w:tr w:rsidR="007A5A66" w14:paraId="7AF1C2D5" w14:textId="77777777" w:rsidTr="00A7577D">
        <w:trPr>
          <w:trHeight w:val="443"/>
        </w:trPr>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7DAFE" w14:textId="77777777" w:rsidR="007A5A66" w:rsidRPr="00A65321" w:rsidRDefault="007A5A66" w:rsidP="00D55DA5">
            <w:pPr>
              <w:spacing w:after="0"/>
              <w:jc w:val="center"/>
              <w:rPr>
                <w:rFonts w:cs="Arial"/>
                <w:b/>
                <w:bCs/>
                <w:color w:val="000000"/>
                <w:sz w:val="18"/>
                <w:szCs w:val="18"/>
              </w:rPr>
            </w:pPr>
            <w:r w:rsidRPr="00A65321">
              <w:rPr>
                <w:rFonts w:cs="Arial"/>
                <w:b/>
                <w:bCs/>
                <w:color w:val="000000"/>
                <w:sz w:val="18"/>
                <w:szCs w:val="18"/>
              </w:rPr>
              <w:t>Planned Preventative</w:t>
            </w:r>
          </w:p>
        </w:tc>
        <w:tc>
          <w:tcPr>
            <w:tcW w:w="1056" w:type="dxa"/>
            <w:vMerge/>
            <w:tcBorders>
              <w:left w:val="nil"/>
              <w:right w:val="single" w:sz="8" w:space="0" w:color="auto"/>
            </w:tcBorders>
            <w:vAlign w:val="center"/>
            <w:hideMark/>
          </w:tcPr>
          <w:p w14:paraId="45B948EB" w14:textId="77777777" w:rsidR="007A5A66" w:rsidRPr="00A65321" w:rsidRDefault="007A5A66" w:rsidP="00D55DA5">
            <w:pPr>
              <w:spacing w:after="0"/>
              <w:rPr>
                <w:rFonts w:cs="Arial"/>
                <w:color w:val="000000"/>
                <w:sz w:val="18"/>
                <w:szCs w:val="18"/>
              </w:rPr>
            </w:pPr>
          </w:p>
        </w:tc>
        <w:tc>
          <w:tcPr>
            <w:tcW w:w="1069" w:type="dxa"/>
            <w:vMerge/>
            <w:tcBorders>
              <w:left w:val="nil"/>
              <w:right w:val="single" w:sz="8" w:space="0" w:color="auto"/>
            </w:tcBorders>
            <w:shd w:val="clear" w:color="auto" w:fill="FF0000"/>
            <w:tcMar>
              <w:top w:w="0" w:type="dxa"/>
              <w:left w:w="108" w:type="dxa"/>
              <w:bottom w:w="0" w:type="dxa"/>
              <w:right w:w="108" w:type="dxa"/>
            </w:tcMar>
            <w:vAlign w:val="center"/>
            <w:hideMark/>
          </w:tcPr>
          <w:p w14:paraId="702F48F1" w14:textId="6CC1A87E" w:rsidR="007A5A66" w:rsidRPr="007A5A66" w:rsidRDefault="007A5A66" w:rsidP="00D55DA5">
            <w:pPr>
              <w:spacing w:after="0"/>
              <w:jc w:val="center"/>
              <w:rPr>
                <w:rFonts w:cs="Arial"/>
                <w:b/>
                <w:bCs/>
                <w:color w:val="000000"/>
                <w:sz w:val="18"/>
                <w:szCs w:val="18"/>
              </w:rPr>
            </w:pPr>
          </w:p>
        </w:tc>
        <w:tc>
          <w:tcPr>
            <w:tcW w:w="1447" w:type="dxa"/>
            <w:vMerge/>
            <w:tcBorders>
              <w:left w:val="nil"/>
              <w:right w:val="single" w:sz="8" w:space="0" w:color="auto"/>
            </w:tcBorders>
            <w:shd w:val="clear" w:color="auto" w:fill="FFC000"/>
            <w:tcMar>
              <w:top w:w="0" w:type="dxa"/>
              <w:left w:w="108" w:type="dxa"/>
              <w:bottom w:w="0" w:type="dxa"/>
              <w:right w:w="108" w:type="dxa"/>
            </w:tcMar>
            <w:vAlign w:val="center"/>
            <w:hideMark/>
          </w:tcPr>
          <w:p w14:paraId="610E4321" w14:textId="62B9CA19" w:rsidR="007A5A66" w:rsidRPr="007A5A66" w:rsidRDefault="007A5A66" w:rsidP="00D55DA5">
            <w:pPr>
              <w:spacing w:after="0"/>
              <w:jc w:val="center"/>
              <w:rPr>
                <w:rFonts w:cs="Arial"/>
                <w:b/>
                <w:bCs/>
                <w:color w:val="000000" w:themeColor="text1"/>
                <w:sz w:val="18"/>
                <w:szCs w:val="18"/>
              </w:rPr>
            </w:pPr>
          </w:p>
        </w:tc>
        <w:tc>
          <w:tcPr>
            <w:tcW w:w="1090" w:type="dxa"/>
            <w:vMerge/>
            <w:tcBorders>
              <w:left w:val="nil"/>
              <w:right w:val="single" w:sz="8" w:space="0" w:color="auto"/>
            </w:tcBorders>
            <w:shd w:val="clear" w:color="auto" w:fill="FFFF00"/>
            <w:tcMar>
              <w:top w:w="0" w:type="dxa"/>
              <w:left w:w="108" w:type="dxa"/>
              <w:bottom w:w="0" w:type="dxa"/>
              <w:right w:w="108" w:type="dxa"/>
            </w:tcMar>
            <w:vAlign w:val="center"/>
            <w:hideMark/>
          </w:tcPr>
          <w:p w14:paraId="7B32334F" w14:textId="3CBDE64E" w:rsidR="007A5A66" w:rsidRPr="007A5A66" w:rsidRDefault="007A5A66" w:rsidP="00D55DA5">
            <w:pPr>
              <w:spacing w:after="0"/>
              <w:jc w:val="center"/>
              <w:rPr>
                <w:rFonts w:cs="Arial"/>
                <w:b/>
                <w:bCs/>
                <w:color w:val="000000" w:themeColor="text1"/>
                <w:sz w:val="18"/>
                <w:szCs w:val="18"/>
              </w:rPr>
            </w:pPr>
          </w:p>
        </w:tc>
        <w:tc>
          <w:tcPr>
            <w:tcW w:w="1103" w:type="dxa"/>
            <w:vMerge/>
            <w:tcBorders>
              <w:left w:val="nil"/>
              <w:right w:val="single" w:sz="8" w:space="0" w:color="auto"/>
            </w:tcBorders>
            <w:shd w:val="clear" w:color="auto" w:fill="92D050"/>
            <w:tcMar>
              <w:top w:w="0" w:type="dxa"/>
              <w:left w:w="108" w:type="dxa"/>
              <w:bottom w:w="0" w:type="dxa"/>
              <w:right w:w="108" w:type="dxa"/>
            </w:tcMar>
            <w:vAlign w:val="center"/>
            <w:hideMark/>
          </w:tcPr>
          <w:p w14:paraId="4FE7543C" w14:textId="1C9C9A97" w:rsidR="007A5A66" w:rsidRPr="007A5A66" w:rsidRDefault="007A5A66" w:rsidP="00D55DA5">
            <w:pPr>
              <w:spacing w:after="0"/>
              <w:jc w:val="center"/>
              <w:rPr>
                <w:rFonts w:cs="Arial"/>
                <w:b/>
                <w:bCs/>
                <w:color w:val="000000" w:themeColor="text1"/>
                <w:sz w:val="18"/>
                <w:szCs w:val="18"/>
              </w:rPr>
            </w:pPr>
          </w:p>
        </w:tc>
        <w:tc>
          <w:tcPr>
            <w:tcW w:w="1287" w:type="dxa"/>
            <w:vMerge/>
            <w:tcBorders>
              <w:left w:val="nil"/>
              <w:right w:val="single" w:sz="8" w:space="0" w:color="auto"/>
            </w:tcBorders>
            <w:shd w:val="clear" w:color="auto" w:fill="00B050"/>
            <w:tcMar>
              <w:top w:w="0" w:type="dxa"/>
              <w:left w:w="108" w:type="dxa"/>
              <w:bottom w:w="0" w:type="dxa"/>
              <w:right w:w="108" w:type="dxa"/>
            </w:tcMar>
            <w:vAlign w:val="center"/>
            <w:hideMark/>
          </w:tcPr>
          <w:p w14:paraId="7897696B" w14:textId="2FB5BB5D" w:rsidR="007A5A66" w:rsidRPr="007A5A66" w:rsidRDefault="007A5A66" w:rsidP="00D55DA5">
            <w:pPr>
              <w:spacing w:after="0"/>
              <w:jc w:val="center"/>
              <w:rPr>
                <w:rFonts w:cs="Arial"/>
                <w:b/>
                <w:bCs/>
                <w:color w:val="000000" w:themeColor="text1"/>
                <w:sz w:val="18"/>
                <w:szCs w:val="18"/>
              </w:rPr>
            </w:pPr>
          </w:p>
        </w:tc>
        <w:tc>
          <w:tcPr>
            <w:tcW w:w="294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63B43617"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80.59</w:t>
            </w:r>
          </w:p>
        </w:tc>
        <w:tc>
          <w:tcPr>
            <w:tcW w:w="289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38BF2E4"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FAIR (72 – 79)</w:t>
            </w:r>
          </w:p>
        </w:tc>
      </w:tr>
      <w:tr w:rsidR="007A5A66" w14:paraId="2E5F4F8D" w14:textId="77777777" w:rsidTr="00A7577D">
        <w:trPr>
          <w:trHeight w:val="443"/>
        </w:trPr>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C5373" w14:textId="77777777" w:rsidR="007A5A66" w:rsidRPr="00A65321" w:rsidRDefault="007A5A66" w:rsidP="00D55DA5">
            <w:pPr>
              <w:spacing w:after="0"/>
              <w:jc w:val="center"/>
              <w:rPr>
                <w:rFonts w:cs="Arial"/>
                <w:b/>
                <w:bCs/>
                <w:color w:val="000000"/>
                <w:sz w:val="18"/>
                <w:szCs w:val="18"/>
              </w:rPr>
            </w:pPr>
            <w:r w:rsidRPr="00A65321">
              <w:rPr>
                <w:rFonts w:cs="Arial"/>
                <w:b/>
                <w:bCs/>
                <w:color w:val="000000"/>
                <w:sz w:val="18"/>
                <w:szCs w:val="18"/>
              </w:rPr>
              <w:t>Planned Do Minimum</w:t>
            </w:r>
          </w:p>
        </w:tc>
        <w:tc>
          <w:tcPr>
            <w:tcW w:w="1056" w:type="dxa"/>
            <w:vMerge/>
            <w:tcBorders>
              <w:left w:val="nil"/>
              <w:bottom w:val="single" w:sz="8" w:space="0" w:color="auto"/>
              <w:right w:val="single" w:sz="8" w:space="0" w:color="auto"/>
            </w:tcBorders>
            <w:vAlign w:val="center"/>
            <w:hideMark/>
          </w:tcPr>
          <w:p w14:paraId="64AA362C" w14:textId="77777777" w:rsidR="007A5A66" w:rsidRPr="00A65321" w:rsidRDefault="007A5A66" w:rsidP="00D55DA5">
            <w:pPr>
              <w:spacing w:after="0"/>
              <w:rPr>
                <w:rFonts w:cs="Arial"/>
                <w:color w:val="000000"/>
                <w:sz w:val="18"/>
                <w:szCs w:val="18"/>
              </w:rPr>
            </w:pPr>
          </w:p>
        </w:tc>
        <w:tc>
          <w:tcPr>
            <w:tcW w:w="1069" w:type="dxa"/>
            <w:vMerge/>
            <w:tcBorders>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70ED1631" w14:textId="62B9B9D1" w:rsidR="007A5A66" w:rsidRPr="007A5A66" w:rsidRDefault="007A5A66" w:rsidP="00D55DA5">
            <w:pPr>
              <w:spacing w:after="0"/>
              <w:jc w:val="center"/>
              <w:rPr>
                <w:rFonts w:cs="Arial"/>
                <w:b/>
                <w:bCs/>
                <w:color w:val="000000"/>
                <w:sz w:val="18"/>
                <w:szCs w:val="18"/>
              </w:rPr>
            </w:pPr>
          </w:p>
        </w:tc>
        <w:tc>
          <w:tcPr>
            <w:tcW w:w="1447" w:type="dxa"/>
            <w:vMerge/>
            <w:tcBorders>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2793855" w14:textId="061E221A" w:rsidR="007A5A66" w:rsidRPr="007A5A66" w:rsidRDefault="007A5A66" w:rsidP="00D55DA5">
            <w:pPr>
              <w:spacing w:after="0"/>
              <w:jc w:val="center"/>
              <w:rPr>
                <w:rFonts w:cs="Arial"/>
                <w:b/>
                <w:bCs/>
                <w:color w:val="000000" w:themeColor="text1"/>
                <w:sz w:val="18"/>
                <w:szCs w:val="18"/>
              </w:rPr>
            </w:pPr>
          </w:p>
        </w:tc>
        <w:tc>
          <w:tcPr>
            <w:tcW w:w="1090" w:type="dxa"/>
            <w:vMerge/>
            <w:tcBorders>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F72E954" w14:textId="21DBC634" w:rsidR="007A5A66" w:rsidRPr="007A5A66" w:rsidRDefault="007A5A66" w:rsidP="00D55DA5">
            <w:pPr>
              <w:spacing w:after="0"/>
              <w:jc w:val="center"/>
              <w:rPr>
                <w:rFonts w:cs="Arial"/>
                <w:b/>
                <w:bCs/>
                <w:color w:val="000000" w:themeColor="text1"/>
                <w:sz w:val="18"/>
                <w:szCs w:val="18"/>
              </w:rPr>
            </w:pPr>
          </w:p>
        </w:tc>
        <w:tc>
          <w:tcPr>
            <w:tcW w:w="1103" w:type="dxa"/>
            <w:vMerge/>
            <w:tcBorders>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466DE3D4" w14:textId="032CA5E5" w:rsidR="007A5A66" w:rsidRPr="007A5A66" w:rsidRDefault="007A5A66" w:rsidP="00D55DA5">
            <w:pPr>
              <w:spacing w:after="0"/>
              <w:jc w:val="center"/>
              <w:rPr>
                <w:rFonts w:cs="Arial"/>
                <w:b/>
                <w:bCs/>
                <w:color w:val="000000" w:themeColor="text1"/>
                <w:sz w:val="18"/>
                <w:szCs w:val="18"/>
              </w:rPr>
            </w:pPr>
          </w:p>
        </w:tc>
        <w:tc>
          <w:tcPr>
            <w:tcW w:w="1287" w:type="dxa"/>
            <w:vMerge/>
            <w:tcBorders>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00CA0B38" w14:textId="51251584" w:rsidR="007A5A66" w:rsidRPr="007A5A66" w:rsidRDefault="007A5A66" w:rsidP="00D55DA5">
            <w:pPr>
              <w:spacing w:after="0"/>
              <w:jc w:val="center"/>
              <w:rPr>
                <w:rFonts w:cs="Arial"/>
                <w:b/>
                <w:bCs/>
                <w:color w:val="000000" w:themeColor="text1"/>
                <w:sz w:val="18"/>
                <w:szCs w:val="18"/>
              </w:rPr>
            </w:pPr>
          </w:p>
        </w:tc>
        <w:tc>
          <w:tcPr>
            <w:tcW w:w="294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621D1698"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83.01</w:t>
            </w:r>
          </w:p>
        </w:tc>
        <w:tc>
          <w:tcPr>
            <w:tcW w:w="289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0F8A85A" w14:textId="77777777" w:rsidR="007A5A66" w:rsidRPr="007A5A66" w:rsidRDefault="007A5A66" w:rsidP="00D55DA5">
            <w:pPr>
              <w:spacing w:after="0"/>
              <w:jc w:val="center"/>
              <w:rPr>
                <w:rFonts w:cs="Arial"/>
                <w:b/>
                <w:bCs/>
                <w:color w:val="000000"/>
                <w:sz w:val="18"/>
                <w:szCs w:val="18"/>
              </w:rPr>
            </w:pPr>
            <w:r w:rsidRPr="007A5A66">
              <w:rPr>
                <w:rFonts w:cs="Arial"/>
                <w:b/>
                <w:bCs/>
                <w:color w:val="000000"/>
                <w:sz w:val="18"/>
                <w:szCs w:val="18"/>
              </w:rPr>
              <w:t>FAIR (65 – 72)</w:t>
            </w:r>
          </w:p>
        </w:tc>
      </w:tr>
      <w:bookmarkEnd w:id="1"/>
    </w:tbl>
    <w:p w14:paraId="396C2D12" w14:textId="0609E263" w:rsidR="001E469F" w:rsidRDefault="001E469F" w:rsidP="009F12CE">
      <w:pPr>
        <w:spacing w:after="0"/>
        <w:jc w:val="both"/>
        <w:rPr>
          <w:rFonts w:cs="Arial"/>
          <w:color w:val="000000" w:themeColor="text1"/>
          <w:sz w:val="22"/>
        </w:rPr>
      </w:pPr>
    </w:p>
    <w:bookmarkEnd w:id="2"/>
    <w:p w14:paraId="018C1727" w14:textId="77777777" w:rsidR="008728DD" w:rsidRPr="0033461B" w:rsidRDefault="008728DD" w:rsidP="008728DD">
      <w:pPr>
        <w:spacing w:after="0" w:line="240" w:lineRule="auto"/>
        <w:rPr>
          <w:bCs/>
        </w:rPr>
      </w:pPr>
    </w:p>
    <w:p w14:paraId="3CF8C78D" w14:textId="1B3A941C" w:rsidR="008728DD" w:rsidRPr="00EF3BE0" w:rsidRDefault="008728DD" w:rsidP="008728DD">
      <w:pPr>
        <w:spacing w:after="0" w:line="240" w:lineRule="auto"/>
        <w:rPr>
          <w:b/>
        </w:rPr>
      </w:pPr>
      <w:r>
        <w:rPr>
          <w:b/>
        </w:rPr>
        <w:t>Street Lighting Service Standard 2020/21 – 2024/25</w:t>
      </w:r>
    </w:p>
    <w:p w14:paraId="2F0C4E28" w14:textId="77777777" w:rsidR="008728DD" w:rsidRDefault="008728DD" w:rsidP="008728DD"/>
    <w:tbl>
      <w:tblPr>
        <w:tblStyle w:val="TableGrid"/>
        <w:tblW w:w="14683" w:type="dxa"/>
        <w:tblInd w:w="-3" w:type="dxa"/>
        <w:tblLayout w:type="fixed"/>
        <w:tblLook w:val="04A0" w:firstRow="1" w:lastRow="0" w:firstColumn="1" w:lastColumn="0" w:noHBand="0" w:noVBand="1"/>
      </w:tblPr>
      <w:tblGrid>
        <w:gridCol w:w="1020"/>
        <w:gridCol w:w="1247"/>
        <w:gridCol w:w="907"/>
        <w:gridCol w:w="1474"/>
        <w:gridCol w:w="850"/>
        <w:gridCol w:w="850"/>
        <w:gridCol w:w="1305"/>
        <w:gridCol w:w="1077"/>
        <w:gridCol w:w="1304"/>
        <w:gridCol w:w="2324"/>
        <w:gridCol w:w="2325"/>
      </w:tblGrid>
      <w:tr w:rsidR="008728DD" w:rsidRPr="00E44424" w14:paraId="2930CBB7" w14:textId="77777777" w:rsidTr="008728DD">
        <w:trPr>
          <w:trHeight w:val="283"/>
        </w:trPr>
        <w:tc>
          <w:tcPr>
            <w:tcW w:w="1020" w:type="dxa"/>
            <w:vMerge w:val="restart"/>
            <w:tcBorders>
              <w:top w:val="single" w:sz="2" w:space="0" w:color="auto"/>
              <w:left w:val="single" w:sz="2" w:space="0" w:color="auto"/>
              <w:right w:val="single" w:sz="2" w:space="0" w:color="auto"/>
            </w:tcBorders>
            <w:shd w:val="clear" w:color="auto" w:fill="auto"/>
            <w:vAlign w:val="center"/>
          </w:tcPr>
          <w:p w14:paraId="061F1785" w14:textId="77777777" w:rsidR="008728DD" w:rsidRPr="00E1340F" w:rsidRDefault="008728DD" w:rsidP="00A7577D">
            <w:pPr>
              <w:jc w:val="center"/>
              <w:rPr>
                <w:rFonts w:cs="Arial"/>
                <w:b/>
                <w:color w:val="000000" w:themeColor="text1"/>
                <w:sz w:val="18"/>
                <w:szCs w:val="18"/>
              </w:rPr>
            </w:pPr>
            <w:r>
              <w:rPr>
                <w:rFonts w:cs="Arial"/>
                <w:b/>
                <w:color w:val="000000" w:themeColor="text1"/>
                <w:sz w:val="18"/>
                <w:szCs w:val="18"/>
              </w:rPr>
              <w:t>Asset Category</w:t>
            </w:r>
          </w:p>
        </w:tc>
        <w:tc>
          <w:tcPr>
            <w:tcW w:w="1247" w:type="dxa"/>
            <w:vMerge w:val="restart"/>
            <w:tcBorders>
              <w:top w:val="single" w:sz="2" w:space="0" w:color="auto"/>
              <w:left w:val="single" w:sz="2" w:space="0" w:color="auto"/>
              <w:right w:val="single" w:sz="2" w:space="0" w:color="auto"/>
            </w:tcBorders>
            <w:shd w:val="clear" w:color="auto" w:fill="auto"/>
            <w:vAlign w:val="center"/>
          </w:tcPr>
          <w:p w14:paraId="71D60BA0" w14:textId="77777777" w:rsidR="008728DD" w:rsidRPr="00E1340F" w:rsidRDefault="008728DD" w:rsidP="00A7577D">
            <w:pPr>
              <w:jc w:val="center"/>
              <w:rPr>
                <w:rFonts w:cs="Arial"/>
                <w:b/>
                <w:color w:val="000000" w:themeColor="text1"/>
                <w:sz w:val="18"/>
                <w:szCs w:val="18"/>
              </w:rPr>
            </w:pPr>
            <w:r>
              <w:rPr>
                <w:rFonts w:cs="Arial"/>
                <w:b/>
                <w:color w:val="000000" w:themeColor="text1"/>
                <w:sz w:val="18"/>
                <w:szCs w:val="18"/>
              </w:rPr>
              <w:t xml:space="preserve">Condition </w:t>
            </w:r>
            <w:r w:rsidRPr="00E1340F">
              <w:rPr>
                <w:rFonts w:cs="Arial"/>
                <w:b/>
                <w:color w:val="000000" w:themeColor="text1"/>
                <w:sz w:val="18"/>
                <w:szCs w:val="18"/>
              </w:rPr>
              <w:t>Measure</w:t>
            </w:r>
          </w:p>
        </w:tc>
        <w:tc>
          <w:tcPr>
            <w:tcW w:w="538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88EFD0" w14:textId="17F652F1" w:rsidR="008728DD" w:rsidRPr="00E44424" w:rsidRDefault="0033461B" w:rsidP="00A7577D">
            <w:pPr>
              <w:jc w:val="center"/>
              <w:rPr>
                <w:rFonts w:cs="Arial"/>
                <w:b/>
                <w:color w:val="000000" w:themeColor="text1"/>
                <w:sz w:val="20"/>
                <w:szCs w:val="20"/>
              </w:rPr>
            </w:pPr>
            <w:r>
              <w:rPr>
                <w:rFonts w:cs="Arial"/>
                <w:b/>
                <w:color w:val="000000" w:themeColor="text1"/>
                <w:sz w:val="20"/>
                <w:szCs w:val="20"/>
              </w:rPr>
              <w:t xml:space="preserve">LCC </w:t>
            </w:r>
            <w:r w:rsidR="008728DD" w:rsidRPr="00E44424">
              <w:rPr>
                <w:rFonts w:cs="Arial"/>
                <w:b/>
                <w:color w:val="000000" w:themeColor="text1"/>
                <w:sz w:val="20"/>
                <w:szCs w:val="20"/>
              </w:rPr>
              <w:t>Service Standards</w:t>
            </w:r>
          </w:p>
        </w:tc>
        <w:tc>
          <w:tcPr>
            <w:tcW w:w="7030" w:type="dxa"/>
            <w:gridSpan w:val="4"/>
            <w:tcBorders>
              <w:top w:val="single" w:sz="2" w:space="0" w:color="auto"/>
              <w:left w:val="single" w:sz="2" w:space="0" w:color="auto"/>
              <w:bottom w:val="single" w:sz="2" w:space="0" w:color="auto"/>
              <w:right w:val="single" w:sz="2" w:space="0" w:color="auto"/>
            </w:tcBorders>
            <w:vAlign w:val="center"/>
          </w:tcPr>
          <w:p w14:paraId="0F64CD9D" w14:textId="77777777" w:rsidR="008728DD" w:rsidRPr="00E44424" w:rsidRDefault="008728DD" w:rsidP="00A7577D">
            <w:pPr>
              <w:jc w:val="center"/>
              <w:rPr>
                <w:rFonts w:cs="Arial"/>
                <w:b/>
                <w:color w:val="000000" w:themeColor="text1"/>
                <w:sz w:val="20"/>
                <w:szCs w:val="20"/>
              </w:rPr>
            </w:pPr>
            <w:r w:rsidRPr="00E44424">
              <w:rPr>
                <w:rFonts w:cs="Arial"/>
                <w:b/>
                <w:color w:val="000000" w:themeColor="text1"/>
                <w:sz w:val="20"/>
                <w:szCs w:val="20"/>
              </w:rPr>
              <w:t>Asset Condition</w:t>
            </w:r>
          </w:p>
        </w:tc>
      </w:tr>
      <w:tr w:rsidR="008728DD" w:rsidRPr="00395004" w14:paraId="2A7007F1" w14:textId="77777777" w:rsidTr="008728DD">
        <w:trPr>
          <w:trHeight w:val="357"/>
        </w:trPr>
        <w:tc>
          <w:tcPr>
            <w:tcW w:w="1020" w:type="dxa"/>
            <w:vMerge/>
            <w:tcBorders>
              <w:left w:val="single" w:sz="2" w:space="0" w:color="auto"/>
              <w:right w:val="single" w:sz="2" w:space="0" w:color="auto"/>
            </w:tcBorders>
            <w:shd w:val="clear" w:color="auto" w:fill="auto"/>
            <w:vAlign w:val="center"/>
          </w:tcPr>
          <w:p w14:paraId="5003F07D" w14:textId="77777777" w:rsidR="008728DD" w:rsidRPr="00E1340F" w:rsidRDefault="008728DD" w:rsidP="00A7577D">
            <w:pPr>
              <w:jc w:val="center"/>
              <w:rPr>
                <w:rFonts w:cs="Arial"/>
                <w:b/>
                <w:color w:val="000000" w:themeColor="text1"/>
                <w:sz w:val="18"/>
                <w:szCs w:val="18"/>
              </w:rPr>
            </w:pPr>
          </w:p>
        </w:tc>
        <w:tc>
          <w:tcPr>
            <w:tcW w:w="1247" w:type="dxa"/>
            <w:vMerge/>
            <w:tcBorders>
              <w:left w:val="single" w:sz="2" w:space="0" w:color="auto"/>
              <w:right w:val="single" w:sz="2" w:space="0" w:color="auto"/>
            </w:tcBorders>
            <w:shd w:val="clear" w:color="auto" w:fill="auto"/>
            <w:vAlign w:val="center"/>
          </w:tcPr>
          <w:p w14:paraId="422DD06A" w14:textId="77777777" w:rsidR="008728DD" w:rsidRPr="00E1340F" w:rsidRDefault="008728DD" w:rsidP="00A7577D">
            <w:pPr>
              <w:jc w:val="center"/>
              <w:rPr>
                <w:rFonts w:cs="Arial"/>
                <w:b/>
                <w:color w:val="000000" w:themeColor="text1"/>
                <w:sz w:val="18"/>
                <w:szCs w:val="18"/>
              </w:rPr>
            </w:pPr>
          </w:p>
        </w:tc>
        <w:tc>
          <w:tcPr>
            <w:tcW w:w="907" w:type="dxa"/>
            <w:vMerge w:val="restart"/>
            <w:tcBorders>
              <w:top w:val="single" w:sz="2" w:space="0" w:color="auto"/>
              <w:left w:val="single" w:sz="2" w:space="0" w:color="auto"/>
              <w:right w:val="single" w:sz="2" w:space="0" w:color="auto"/>
            </w:tcBorders>
            <w:shd w:val="clear" w:color="auto" w:fill="FF0000"/>
            <w:vAlign w:val="center"/>
          </w:tcPr>
          <w:p w14:paraId="72A146A6" w14:textId="77777777" w:rsidR="008728DD" w:rsidRPr="008728DD" w:rsidRDefault="008728DD" w:rsidP="00A7577D">
            <w:pPr>
              <w:jc w:val="center"/>
              <w:rPr>
                <w:rFonts w:cs="Arial"/>
                <w:b/>
                <w:bCs/>
                <w:color w:val="000000" w:themeColor="text1"/>
                <w:sz w:val="18"/>
                <w:szCs w:val="18"/>
              </w:rPr>
            </w:pPr>
            <w:r w:rsidRPr="008728DD">
              <w:rPr>
                <w:rFonts w:cs="Arial"/>
                <w:b/>
                <w:bCs/>
                <w:color w:val="000000" w:themeColor="text1"/>
                <w:sz w:val="18"/>
                <w:szCs w:val="18"/>
              </w:rPr>
              <w:t>POOR</w:t>
            </w:r>
          </w:p>
        </w:tc>
        <w:tc>
          <w:tcPr>
            <w:tcW w:w="1474" w:type="dxa"/>
            <w:vMerge w:val="restart"/>
            <w:tcBorders>
              <w:top w:val="single" w:sz="2" w:space="0" w:color="auto"/>
              <w:left w:val="single" w:sz="2" w:space="0" w:color="auto"/>
              <w:right w:val="single" w:sz="2" w:space="0" w:color="auto"/>
            </w:tcBorders>
            <w:shd w:val="clear" w:color="auto" w:fill="FFC000"/>
            <w:vAlign w:val="center"/>
          </w:tcPr>
          <w:p w14:paraId="30204DD5"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A</w:t>
            </w:r>
            <w:r w:rsidRPr="008B11BA">
              <w:rPr>
                <w:rFonts w:cs="Arial"/>
                <w:b/>
                <w:color w:val="000000" w:themeColor="text1"/>
                <w:sz w:val="18"/>
                <w:szCs w:val="18"/>
                <w:shd w:val="clear" w:color="auto" w:fill="FFC000"/>
              </w:rPr>
              <w:t>CCEPTABLE</w:t>
            </w:r>
          </w:p>
        </w:tc>
        <w:tc>
          <w:tcPr>
            <w:tcW w:w="850" w:type="dxa"/>
            <w:vMerge w:val="restart"/>
            <w:tcBorders>
              <w:top w:val="single" w:sz="2" w:space="0" w:color="auto"/>
              <w:left w:val="single" w:sz="2" w:space="0" w:color="auto"/>
              <w:right w:val="single" w:sz="2" w:space="0" w:color="auto"/>
            </w:tcBorders>
            <w:shd w:val="clear" w:color="auto" w:fill="FFFF00"/>
            <w:vAlign w:val="center"/>
          </w:tcPr>
          <w:p w14:paraId="6256C436"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FAIR</w:t>
            </w:r>
          </w:p>
        </w:tc>
        <w:tc>
          <w:tcPr>
            <w:tcW w:w="850" w:type="dxa"/>
            <w:vMerge w:val="restart"/>
            <w:tcBorders>
              <w:top w:val="single" w:sz="2" w:space="0" w:color="auto"/>
              <w:left w:val="single" w:sz="2" w:space="0" w:color="auto"/>
              <w:right w:val="single" w:sz="2" w:space="0" w:color="auto"/>
            </w:tcBorders>
            <w:shd w:val="clear" w:color="auto" w:fill="92D050"/>
            <w:vAlign w:val="center"/>
          </w:tcPr>
          <w:p w14:paraId="35B231AC"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GOOD</w:t>
            </w:r>
          </w:p>
        </w:tc>
        <w:tc>
          <w:tcPr>
            <w:tcW w:w="1305" w:type="dxa"/>
            <w:vMerge w:val="restart"/>
            <w:tcBorders>
              <w:top w:val="single" w:sz="2" w:space="0" w:color="auto"/>
              <w:left w:val="single" w:sz="2" w:space="0" w:color="auto"/>
              <w:right w:val="single" w:sz="2" w:space="0" w:color="auto"/>
            </w:tcBorders>
            <w:shd w:val="clear" w:color="auto" w:fill="00B050"/>
            <w:vAlign w:val="center"/>
          </w:tcPr>
          <w:p w14:paraId="10285619" w14:textId="77777777" w:rsidR="008728DD" w:rsidRPr="008B11BA" w:rsidRDefault="008728DD" w:rsidP="00A7577D">
            <w:pPr>
              <w:jc w:val="center"/>
              <w:rPr>
                <w:rFonts w:cs="Arial"/>
                <w:b/>
                <w:color w:val="000000" w:themeColor="text1"/>
                <w:sz w:val="18"/>
                <w:szCs w:val="18"/>
              </w:rPr>
            </w:pPr>
            <w:r w:rsidRPr="008B11BA">
              <w:rPr>
                <w:rFonts w:cs="Arial"/>
                <w:b/>
                <w:color w:val="000000" w:themeColor="text1"/>
                <w:sz w:val="18"/>
                <w:szCs w:val="18"/>
              </w:rPr>
              <w:t>EXCELLENT</w:t>
            </w:r>
          </w:p>
        </w:tc>
        <w:tc>
          <w:tcPr>
            <w:tcW w:w="1077" w:type="dxa"/>
            <w:tcBorders>
              <w:top w:val="single" w:sz="2" w:space="0" w:color="auto"/>
              <w:left w:val="single" w:sz="2" w:space="0" w:color="auto"/>
              <w:bottom w:val="single" w:sz="2" w:space="0" w:color="auto"/>
              <w:right w:val="single" w:sz="2" w:space="0" w:color="auto"/>
            </w:tcBorders>
            <w:shd w:val="clear" w:color="auto" w:fill="auto"/>
            <w:vAlign w:val="center"/>
          </w:tcPr>
          <w:p w14:paraId="767BC2EA" w14:textId="77777777" w:rsidR="008728DD" w:rsidRPr="00395004" w:rsidRDefault="008728DD" w:rsidP="00A7577D">
            <w:pPr>
              <w:jc w:val="center"/>
              <w:rPr>
                <w:rFonts w:cs="Arial"/>
                <w:b/>
                <w:color w:val="000000" w:themeColor="text1"/>
                <w:sz w:val="18"/>
                <w:szCs w:val="18"/>
              </w:rPr>
            </w:pPr>
            <w:r w:rsidRPr="00395004">
              <w:rPr>
                <w:rFonts w:cs="Arial"/>
                <w:b/>
                <w:color w:val="000000" w:themeColor="text1"/>
                <w:sz w:val="18"/>
                <w:szCs w:val="18"/>
              </w:rPr>
              <w:t>2019/20</w:t>
            </w:r>
          </w:p>
        </w:tc>
        <w:tc>
          <w:tcPr>
            <w:tcW w:w="36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F16FF1" w14:textId="77777777" w:rsidR="008728DD" w:rsidRPr="008728DD" w:rsidRDefault="008728DD" w:rsidP="00A7577D">
            <w:pPr>
              <w:jc w:val="center"/>
              <w:rPr>
                <w:rFonts w:cs="Arial"/>
                <w:b/>
                <w:color w:val="000000" w:themeColor="text1"/>
                <w:sz w:val="18"/>
                <w:szCs w:val="18"/>
              </w:rPr>
            </w:pPr>
            <w:r w:rsidRPr="008728DD">
              <w:rPr>
                <w:rFonts w:cs="Arial"/>
                <w:b/>
                <w:color w:val="000000" w:themeColor="text1"/>
                <w:sz w:val="18"/>
                <w:szCs w:val="18"/>
              </w:rPr>
              <w:t>2024/25 End Year 5 - Target</w:t>
            </w:r>
          </w:p>
        </w:tc>
        <w:tc>
          <w:tcPr>
            <w:tcW w:w="2325" w:type="dxa"/>
            <w:tcBorders>
              <w:top w:val="single" w:sz="2" w:space="0" w:color="auto"/>
              <w:left w:val="single" w:sz="2" w:space="0" w:color="auto"/>
              <w:bottom w:val="single" w:sz="2" w:space="0" w:color="auto"/>
              <w:right w:val="single" w:sz="2" w:space="0" w:color="auto"/>
            </w:tcBorders>
            <w:vAlign w:val="center"/>
          </w:tcPr>
          <w:p w14:paraId="3D601770" w14:textId="77777777" w:rsidR="008728DD" w:rsidRPr="008728DD" w:rsidRDefault="008728DD" w:rsidP="00A7577D">
            <w:pPr>
              <w:jc w:val="center"/>
              <w:rPr>
                <w:rFonts w:cs="Arial"/>
                <w:b/>
                <w:color w:val="000000" w:themeColor="text1"/>
                <w:sz w:val="18"/>
                <w:szCs w:val="18"/>
              </w:rPr>
            </w:pPr>
            <w:r w:rsidRPr="008728DD">
              <w:rPr>
                <w:rFonts w:cs="Arial"/>
                <w:b/>
                <w:color w:val="000000" w:themeColor="text1"/>
                <w:sz w:val="18"/>
                <w:szCs w:val="18"/>
              </w:rPr>
              <w:t>2029/30 End Phase 3 Target</w:t>
            </w:r>
          </w:p>
        </w:tc>
      </w:tr>
      <w:tr w:rsidR="008728DD" w:rsidRPr="00490EB3" w14:paraId="512278B1" w14:textId="77777777" w:rsidTr="008728DD">
        <w:trPr>
          <w:trHeight w:val="356"/>
        </w:trPr>
        <w:tc>
          <w:tcPr>
            <w:tcW w:w="1020" w:type="dxa"/>
            <w:vMerge/>
            <w:tcBorders>
              <w:left w:val="single" w:sz="2" w:space="0" w:color="auto"/>
              <w:bottom w:val="single" w:sz="2" w:space="0" w:color="auto"/>
              <w:right w:val="single" w:sz="2" w:space="0" w:color="auto"/>
            </w:tcBorders>
            <w:shd w:val="clear" w:color="auto" w:fill="auto"/>
            <w:vAlign w:val="center"/>
          </w:tcPr>
          <w:p w14:paraId="26ED83BE" w14:textId="77777777" w:rsidR="008728DD" w:rsidRPr="00E1340F" w:rsidRDefault="008728DD" w:rsidP="00A7577D">
            <w:pPr>
              <w:jc w:val="center"/>
              <w:rPr>
                <w:rFonts w:cs="Arial"/>
                <w:b/>
                <w:color w:val="000000" w:themeColor="text1"/>
                <w:sz w:val="18"/>
                <w:szCs w:val="18"/>
              </w:rPr>
            </w:pPr>
          </w:p>
        </w:tc>
        <w:tc>
          <w:tcPr>
            <w:tcW w:w="1247" w:type="dxa"/>
            <w:vMerge/>
            <w:tcBorders>
              <w:left w:val="single" w:sz="2" w:space="0" w:color="auto"/>
              <w:bottom w:val="single" w:sz="2" w:space="0" w:color="auto"/>
              <w:right w:val="single" w:sz="2" w:space="0" w:color="auto"/>
            </w:tcBorders>
            <w:shd w:val="clear" w:color="auto" w:fill="auto"/>
            <w:vAlign w:val="center"/>
          </w:tcPr>
          <w:p w14:paraId="00E3C5AD" w14:textId="77777777" w:rsidR="008728DD" w:rsidRPr="00E1340F" w:rsidRDefault="008728DD" w:rsidP="00A7577D">
            <w:pPr>
              <w:jc w:val="center"/>
              <w:rPr>
                <w:rFonts w:cs="Arial"/>
                <w:color w:val="000000" w:themeColor="text1"/>
                <w:sz w:val="18"/>
                <w:szCs w:val="18"/>
              </w:rPr>
            </w:pPr>
          </w:p>
        </w:tc>
        <w:tc>
          <w:tcPr>
            <w:tcW w:w="907" w:type="dxa"/>
            <w:vMerge/>
            <w:tcBorders>
              <w:left w:val="single" w:sz="2" w:space="0" w:color="auto"/>
              <w:bottom w:val="single" w:sz="2" w:space="0" w:color="auto"/>
              <w:right w:val="single" w:sz="2" w:space="0" w:color="auto"/>
            </w:tcBorders>
            <w:shd w:val="clear" w:color="auto" w:fill="FF0000"/>
            <w:vAlign w:val="center"/>
          </w:tcPr>
          <w:p w14:paraId="3D23336C" w14:textId="77777777" w:rsidR="008728DD" w:rsidRPr="008728DD" w:rsidRDefault="008728DD" w:rsidP="00A7577D">
            <w:pPr>
              <w:jc w:val="center"/>
              <w:rPr>
                <w:rFonts w:cs="Arial"/>
                <w:b/>
                <w:bCs/>
                <w:color w:val="000000" w:themeColor="text1"/>
                <w:sz w:val="18"/>
                <w:szCs w:val="18"/>
              </w:rPr>
            </w:pPr>
          </w:p>
        </w:tc>
        <w:tc>
          <w:tcPr>
            <w:tcW w:w="1474" w:type="dxa"/>
            <w:vMerge/>
            <w:tcBorders>
              <w:left w:val="single" w:sz="2" w:space="0" w:color="auto"/>
              <w:bottom w:val="single" w:sz="2" w:space="0" w:color="auto"/>
              <w:right w:val="single" w:sz="2" w:space="0" w:color="auto"/>
            </w:tcBorders>
            <w:shd w:val="clear" w:color="auto" w:fill="FFC000"/>
            <w:vAlign w:val="center"/>
          </w:tcPr>
          <w:p w14:paraId="0A788B35" w14:textId="77777777" w:rsidR="008728DD" w:rsidRPr="008B11BA" w:rsidRDefault="008728DD" w:rsidP="00A7577D">
            <w:pPr>
              <w:jc w:val="center"/>
              <w:rPr>
                <w:rFonts w:cs="Arial"/>
                <w:color w:val="000000" w:themeColor="text1"/>
                <w:sz w:val="18"/>
                <w:szCs w:val="18"/>
              </w:rPr>
            </w:pPr>
          </w:p>
        </w:tc>
        <w:tc>
          <w:tcPr>
            <w:tcW w:w="850" w:type="dxa"/>
            <w:vMerge/>
            <w:tcBorders>
              <w:left w:val="single" w:sz="2" w:space="0" w:color="auto"/>
              <w:bottom w:val="single" w:sz="2" w:space="0" w:color="auto"/>
              <w:right w:val="single" w:sz="2" w:space="0" w:color="auto"/>
            </w:tcBorders>
            <w:shd w:val="clear" w:color="auto" w:fill="FFFF00"/>
            <w:vAlign w:val="center"/>
          </w:tcPr>
          <w:p w14:paraId="4D812E72" w14:textId="77777777" w:rsidR="008728DD" w:rsidRPr="008B11BA" w:rsidRDefault="008728DD" w:rsidP="00A7577D">
            <w:pPr>
              <w:jc w:val="center"/>
              <w:rPr>
                <w:rFonts w:cs="Arial"/>
                <w:color w:val="000000" w:themeColor="text1"/>
                <w:sz w:val="18"/>
                <w:szCs w:val="18"/>
              </w:rPr>
            </w:pPr>
          </w:p>
        </w:tc>
        <w:tc>
          <w:tcPr>
            <w:tcW w:w="850" w:type="dxa"/>
            <w:vMerge/>
            <w:tcBorders>
              <w:left w:val="single" w:sz="2" w:space="0" w:color="auto"/>
              <w:bottom w:val="single" w:sz="2" w:space="0" w:color="auto"/>
              <w:right w:val="single" w:sz="2" w:space="0" w:color="auto"/>
            </w:tcBorders>
            <w:shd w:val="clear" w:color="auto" w:fill="92D050"/>
            <w:vAlign w:val="center"/>
          </w:tcPr>
          <w:p w14:paraId="6FDF9C1C" w14:textId="77777777" w:rsidR="008728DD" w:rsidRPr="008B11BA" w:rsidRDefault="008728DD" w:rsidP="00A7577D">
            <w:pPr>
              <w:jc w:val="center"/>
              <w:rPr>
                <w:rFonts w:cs="Arial"/>
                <w:color w:val="000000" w:themeColor="text1"/>
                <w:sz w:val="18"/>
                <w:szCs w:val="18"/>
              </w:rPr>
            </w:pPr>
          </w:p>
        </w:tc>
        <w:tc>
          <w:tcPr>
            <w:tcW w:w="1305" w:type="dxa"/>
            <w:vMerge/>
            <w:tcBorders>
              <w:left w:val="single" w:sz="2" w:space="0" w:color="auto"/>
              <w:bottom w:val="single" w:sz="2" w:space="0" w:color="auto"/>
              <w:right w:val="single" w:sz="2" w:space="0" w:color="auto"/>
            </w:tcBorders>
            <w:shd w:val="clear" w:color="auto" w:fill="00B050"/>
            <w:vAlign w:val="center"/>
          </w:tcPr>
          <w:p w14:paraId="7074D00F" w14:textId="77777777" w:rsidR="008728DD" w:rsidRPr="008B11BA" w:rsidRDefault="008728DD" w:rsidP="00A7577D">
            <w:pPr>
              <w:jc w:val="center"/>
              <w:rPr>
                <w:rFonts w:cs="Arial"/>
                <w:color w:val="000000" w:themeColor="text1"/>
                <w:sz w:val="18"/>
                <w:szCs w:val="18"/>
              </w:rPr>
            </w:pPr>
          </w:p>
        </w:tc>
        <w:tc>
          <w:tcPr>
            <w:tcW w:w="1077" w:type="dxa"/>
            <w:tcBorders>
              <w:top w:val="single" w:sz="2" w:space="0" w:color="auto"/>
              <w:left w:val="single" w:sz="2" w:space="0" w:color="auto"/>
              <w:bottom w:val="single" w:sz="2" w:space="0" w:color="auto"/>
              <w:right w:val="single" w:sz="2" w:space="0" w:color="auto"/>
            </w:tcBorders>
            <w:shd w:val="clear" w:color="auto" w:fill="auto"/>
            <w:vAlign w:val="center"/>
          </w:tcPr>
          <w:p w14:paraId="4C5ED33F" w14:textId="77777777" w:rsidR="008728DD" w:rsidRPr="008728DD" w:rsidRDefault="008728DD" w:rsidP="00A7577D">
            <w:pPr>
              <w:jc w:val="center"/>
              <w:rPr>
                <w:rFonts w:cs="Arial"/>
                <w:b/>
                <w:bCs/>
                <w:color w:val="000000" w:themeColor="text1"/>
                <w:sz w:val="18"/>
                <w:szCs w:val="18"/>
              </w:rPr>
            </w:pPr>
            <w:r w:rsidRPr="008728DD">
              <w:rPr>
                <w:rFonts w:cs="Arial"/>
                <w:b/>
                <w:bCs/>
                <w:color w:val="000000" w:themeColor="text1"/>
                <w:sz w:val="18"/>
                <w:szCs w:val="18"/>
              </w:rPr>
              <w:t>Base</w:t>
            </w:r>
          </w:p>
        </w:tc>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6CDB0534" w14:textId="77777777" w:rsidR="008728DD" w:rsidRPr="008728DD" w:rsidRDefault="008728DD" w:rsidP="00A7577D">
            <w:pPr>
              <w:jc w:val="center"/>
              <w:rPr>
                <w:rFonts w:cs="Arial"/>
                <w:b/>
                <w:bCs/>
                <w:color w:val="000000" w:themeColor="text1"/>
                <w:sz w:val="18"/>
                <w:szCs w:val="18"/>
              </w:rPr>
            </w:pPr>
            <w:r w:rsidRPr="008728DD">
              <w:rPr>
                <w:rFonts w:cs="Arial"/>
                <w:b/>
                <w:bCs/>
                <w:color w:val="000000" w:themeColor="text1"/>
                <w:sz w:val="18"/>
                <w:szCs w:val="18"/>
              </w:rPr>
              <w:t>Current Funding Levels</w:t>
            </w:r>
          </w:p>
        </w:tc>
        <w:tc>
          <w:tcPr>
            <w:tcW w:w="2324" w:type="dxa"/>
            <w:tcBorders>
              <w:top w:val="single" w:sz="2" w:space="0" w:color="auto"/>
              <w:left w:val="single" w:sz="2" w:space="0" w:color="auto"/>
              <w:bottom w:val="single" w:sz="2" w:space="0" w:color="auto"/>
              <w:right w:val="single" w:sz="2" w:space="0" w:color="auto"/>
            </w:tcBorders>
            <w:shd w:val="clear" w:color="auto" w:fill="auto"/>
            <w:vAlign w:val="center"/>
          </w:tcPr>
          <w:p w14:paraId="29639C9F" w14:textId="77777777" w:rsidR="008728DD" w:rsidRPr="008728DD" w:rsidRDefault="008728DD" w:rsidP="00A7577D">
            <w:pPr>
              <w:jc w:val="center"/>
              <w:rPr>
                <w:b/>
                <w:bCs/>
                <w:color w:val="000000" w:themeColor="text1"/>
              </w:rPr>
            </w:pPr>
            <w:r w:rsidRPr="008728DD">
              <w:rPr>
                <w:rFonts w:cs="Arial"/>
                <w:b/>
                <w:bCs/>
                <w:color w:val="000000" w:themeColor="text1"/>
                <w:sz w:val="18"/>
                <w:szCs w:val="18"/>
              </w:rPr>
              <w:t>Capital Strategy: Acceptable Risk Managed Funding</w:t>
            </w:r>
          </w:p>
        </w:tc>
        <w:tc>
          <w:tcPr>
            <w:tcW w:w="2325" w:type="dxa"/>
            <w:tcBorders>
              <w:top w:val="single" w:sz="2" w:space="0" w:color="auto"/>
              <w:left w:val="single" w:sz="2" w:space="0" w:color="auto"/>
              <w:bottom w:val="single" w:sz="2" w:space="0" w:color="auto"/>
              <w:right w:val="single" w:sz="2" w:space="0" w:color="auto"/>
            </w:tcBorders>
            <w:vAlign w:val="center"/>
          </w:tcPr>
          <w:p w14:paraId="6D7C35A2" w14:textId="77777777" w:rsidR="008728DD" w:rsidRPr="008728DD" w:rsidRDefault="008728DD" w:rsidP="00A7577D">
            <w:pPr>
              <w:jc w:val="center"/>
              <w:rPr>
                <w:rFonts w:cs="Arial"/>
                <w:b/>
                <w:bCs/>
                <w:color w:val="000000" w:themeColor="text1"/>
                <w:sz w:val="18"/>
                <w:szCs w:val="18"/>
              </w:rPr>
            </w:pPr>
            <w:r w:rsidRPr="008728DD">
              <w:rPr>
                <w:rFonts w:cs="Arial"/>
                <w:b/>
                <w:bCs/>
                <w:color w:val="000000" w:themeColor="text1"/>
                <w:sz w:val="18"/>
                <w:szCs w:val="18"/>
              </w:rPr>
              <w:t>Capital Strategy: Acceptable Risk Managed Funding</w:t>
            </w:r>
          </w:p>
        </w:tc>
      </w:tr>
      <w:tr w:rsidR="008728DD" w:rsidRPr="004E4903" w14:paraId="275E6688" w14:textId="77777777" w:rsidTr="008728DD">
        <w:trPr>
          <w:trHeight w:val="443"/>
        </w:trPr>
        <w:tc>
          <w:tcPr>
            <w:tcW w:w="1020" w:type="dxa"/>
            <w:tcBorders>
              <w:top w:val="single" w:sz="2" w:space="0" w:color="auto"/>
              <w:left w:val="single" w:sz="2" w:space="0" w:color="auto"/>
              <w:bottom w:val="single" w:sz="2" w:space="0" w:color="auto"/>
              <w:right w:val="single" w:sz="2" w:space="0" w:color="auto"/>
            </w:tcBorders>
            <w:shd w:val="clear" w:color="auto" w:fill="auto"/>
            <w:vAlign w:val="center"/>
          </w:tcPr>
          <w:p w14:paraId="327D0D6C" w14:textId="77777777" w:rsidR="008728DD" w:rsidRPr="008728DD" w:rsidRDefault="008728DD" w:rsidP="00A7577D">
            <w:pPr>
              <w:spacing w:before="120" w:after="120"/>
              <w:jc w:val="center"/>
              <w:rPr>
                <w:rFonts w:cstheme="minorHAnsi"/>
                <w:b/>
                <w:color w:val="000000" w:themeColor="text1"/>
                <w:sz w:val="18"/>
                <w:szCs w:val="18"/>
              </w:rPr>
            </w:pPr>
            <w:r w:rsidRPr="008728DD">
              <w:rPr>
                <w:rFonts w:cs="Arial"/>
                <w:b/>
                <w:color w:val="000000" w:themeColor="text1"/>
                <w:sz w:val="18"/>
                <w:szCs w:val="18"/>
              </w:rPr>
              <w:t>Street Lighting</w:t>
            </w:r>
          </w:p>
        </w:tc>
        <w:tc>
          <w:tcPr>
            <w:tcW w:w="1247" w:type="dxa"/>
            <w:tcBorders>
              <w:top w:val="single" w:sz="2" w:space="0" w:color="auto"/>
              <w:left w:val="single" w:sz="2" w:space="0" w:color="auto"/>
              <w:bottom w:val="single" w:sz="2" w:space="0" w:color="auto"/>
              <w:right w:val="single" w:sz="2" w:space="0" w:color="auto"/>
            </w:tcBorders>
            <w:shd w:val="clear" w:color="auto" w:fill="auto"/>
            <w:vAlign w:val="center"/>
          </w:tcPr>
          <w:p w14:paraId="0278AA07" w14:textId="77777777" w:rsidR="008728DD" w:rsidRPr="008728DD" w:rsidRDefault="008728DD" w:rsidP="00A7577D">
            <w:pPr>
              <w:spacing w:before="120" w:after="120"/>
              <w:jc w:val="center"/>
              <w:rPr>
                <w:rFonts w:cstheme="minorHAnsi"/>
                <w:b/>
                <w:color w:val="000000" w:themeColor="text1"/>
                <w:sz w:val="18"/>
                <w:szCs w:val="18"/>
              </w:rPr>
            </w:pPr>
            <w:r w:rsidRPr="008728DD">
              <w:rPr>
                <w:rFonts w:cstheme="minorHAnsi"/>
                <w:b/>
                <w:color w:val="000000" w:themeColor="text1"/>
                <w:sz w:val="18"/>
                <w:szCs w:val="18"/>
              </w:rPr>
              <w:t>No. of columns aged over 40 years old</w:t>
            </w:r>
          </w:p>
        </w:tc>
        <w:tc>
          <w:tcPr>
            <w:tcW w:w="907" w:type="dxa"/>
            <w:tcBorders>
              <w:top w:val="single" w:sz="2" w:space="0" w:color="auto"/>
              <w:left w:val="single" w:sz="2" w:space="0" w:color="auto"/>
              <w:bottom w:val="single" w:sz="2" w:space="0" w:color="auto"/>
              <w:right w:val="single" w:sz="2" w:space="0" w:color="auto"/>
            </w:tcBorders>
            <w:shd w:val="clear" w:color="auto" w:fill="FF0000"/>
            <w:vAlign w:val="center"/>
          </w:tcPr>
          <w:p w14:paraId="6A1F6E16" w14:textId="77777777" w:rsidR="008728DD" w:rsidRPr="008728DD" w:rsidRDefault="008728DD" w:rsidP="00A7577D">
            <w:pPr>
              <w:spacing w:before="120" w:after="120"/>
              <w:jc w:val="center"/>
              <w:rPr>
                <w:rFonts w:cstheme="minorHAnsi"/>
                <w:b/>
                <w:bCs/>
                <w:color w:val="000000" w:themeColor="text1"/>
                <w:sz w:val="18"/>
                <w:szCs w:val="18"/>
              </w:rPr>
            </w:pPr>
            <w:r w:rsidRPr="008728DD">
              <w:rPr>
                <w:rFonts w:cstheme="minorHAnsi"/>
                <w:b/>
                <w:bCs/>
                <w:color w:val="000000" w:themeColor="text1"/>
                <w:sz w:val="18"/>
                <w:szCs w:val="18"/>
              </w:rPr>
              <w:t>&gt;16,000</w:t>
            </w:r>
          </w:p>
        </w:tc>
        <w:tc>
          <w:tcPr>
            <w:tcW w:w="1474" w:type="dxa"/>
            <w:tcBorders>
              <w:top w:val="single" w:sz="2" w:space="0" w:color="auto"/>
              <w:left w:val="single" w:sz="2" w:space="0" w:color="auto"/>
              <w:bottom w:val="single" w:sz="2" w:space="0" w:color="auto"/>
              <w:right w:val="single" w:sz="2" w:space="0" w:color="auto"/>
            </w:tcBorders>
            <w:shd w:val="clear" w:color="auto" w:fill="FFC000"/>
            <w:vAlign w:val="center"/>
          </w:tcPr>
          <w:p w14:paraId="52CF2DE4" w14:textId="77777777" w:rsidR="008728DD" w:rsidRPr="008728DD" w:rsidRDefault="008728DD" w:rsidP="00A7577D">
            <w:pPr>
              <w:spacing w:before="120" w:after="120" w:line="276" w:lineRule="auto"/>
              <w:jc w:val="center"/>
              <w:rPr>
                <w:rFonts w:cstheme="minorHAnsi"/>
                <w:b/>
                <w:color w:val="000000" w:themeColor="text1"/>
                <w:sz w:val="18"/>
                <w:szCs w:val="18"/>
              </w:rPr>
            </w:pPr>
            <w:r w:rsidRPr="008728DD">
              <w:rPr>
                <w:rFonts w:cstheme="minorHAnsi"/>
                <w:b/>
                <w:color w:val="000000" w:themeColor="text1"/>
                <w:sz w:val="18"/>
                <w:szCs w:val="18"/>
              </w:rPr>
              <w:t>16,000 – 12,001</w:t>
            </w:r>
          </w:p>
        </w:tc>
        <w:tc>
          <w:tcPr>
            <w:tcW w:w="850" w:type="dxa"/>
            <w:tcBorders>
              <w:top w:val="single" w:sz="2" w:space="0" w:color="auto"/>
              <w:left w:val="single" w:sz="2" w:space="0" w:color="auto"/>
              <w:bottom w:val="single" w:sz="2" w:space="0" w:color="auto"/>
              <w:right w:val="single" w:sz="2" w:space="0" w:color="auto"/>
            </w:tcBorders>
            <w:shd w:val="clear" w:color="auto" w:fill="FFFF00"/>
            <w:vAlign w:val="center"/>
          </w:tcPr>
          <w:p w14:paraId="712063E2" w14:textId="77777777" w:rsidR="008728DD" w:rsidRPr="008728DD" w:rsidRDefault="008728DD" w:rsidP="00A7577D">
            <w:pPr>
              <w:spacing w:before="120" w:after="120"/>
              <w:jc w:val="center"/>
              <w:rPr>
                <w:rFonts w:cstheme="minorHAnsi"/>
                <w:b/>
                <w:color w:val="000000" w:themeColor="text1"/>
                <w:sz w:val="18"/>
                <w:szCs w:val="18"/>
              </w:rPr>
            </w:pPr>
            <w:r w:rsidRPr="008728DD">
              <w:rPr>
                <w:rFonts w:cstheme="minorHAnsi"/>
                <w:b/>
                <w:color w:val="000000" w:themeColor="text1"/>
                <w:sz w:val="18"/>
                <w:szCs w:val="18"/>
              </w:rPr>
              <w:t>12,000 - 8,001</w:t>
            </w:r>
          </w:p>
        </w:tc>
        <w:tc>
          <w:tcPr>
            <w:tcW w:w="850" w:type="dxa"/>
            <w:tcBorders>
              <w:top w:val="single" w:sz="2" w:space="0" w:color="auto"/>
              <w:left w:val="single" w:sz="2" w:space="0" w:color="auto"/>
              <w:bottom w:val="single" w:sz="2" w:space="0" w:color="auto"/>
              <w:right w:val="single" w:sz="2" w:space="0" w:color="auto"/>
            </w:tcBorders>
            <w:shd w:val="clear" w:color="auto" w:fill="92D050"/>
            <w:vAlign w:val="center"/>
          </w:tcPr>
          <w:p w14:paraId="02A4D010" w14:textId="77777777" w:rsidR="008728DD" w:rsidRPr="008728DD" w:rsidRDefault="008728DD" w:rsidP="00A7577D">
            <w:pPr>
              <w:spacing w:before="120" w:after="120"/>
              <w:jc w:val="center"/>
              <w:rPr>
                <w:rFonts w:cstheme="minorHAnsi"/>
                <w:b/>
                <w:color w:val="000000" w:themeColor="text1"/>
                <w:sz w:val="18"/>
                <w:szCs w:val="18"/>
              </w:rPr>
            </w:pPr>
            <w:r w:rsidRPr="008728DD">
              <w:rPr>
                <w:rFonts w:cstheme="minorHAnsi"/>
                <w:b/>
                <w:color w:val="000000" w:themeColor="text1"/>
                <w:sz w:val="18"/>
                <w:szCs w:val="18"/>
              </w:rPr>
              <w:t>8,000 – 4,001</w:t>
            </w:r>
          </w:p>
        </w:tc>
        <w:tc>
          <w:tcPr>
            <w:tcW w:w="1305" w:type="dxa"/>
            <w:tcBorders>
              <w:top w:val="single" w:sz="2" w:space="0" w:color="auto"/>
              <w:left w:val="single" w:sz="2" w:space="0" w:color="auto"/>
              <w:bottom w:val="single" w:sz="2" w:space="0" w:color="auto"/>
              <w:right w:val="single" w:sz="2" w:space="0" w:color="auto"/>
            </w:tcBorders>
            <w:shd w:val="clear" w:color="auto" w:fill="00B050"/>
            <w:vAlign w:val="center"/>
          </w:tcPr>
          <w:p w14:paraId="07CEAC24" w14:textId="77777777" w:rsidR="008728DD" w:rsidRPr="008728DD" w:rsidRDefault="008728DD" w:rsidP="00A7577D">
            <w:pPr>
              <w:spacing w:before="120" w:after="120"/>
              <w:jc w:val="center"/>
              <w:rPr>
                <w:rFonts w:cstheme="minorHAnsi"/>
                <w:b/>
                <w:color w:val="000000" w:themeColor="text1"/>
                <w:sz w:val="18"/>
                <w:szCs w:val="18"/>
              </w:rPr>
            </w:pPr>
            <w:r w:rsidRPr="008728DD">
              <w:rPr>
                <w:rFonts w:cstheme="minorHAnsi"/>
                <w:b/>
                <w:color w:val="000000" w:themeColor="text1"/>
                <w:sz w:val="18"/>
                <w:szCs w:val="18"/>
              </w:rPr>
              <w:t>&lt;4,000</w:t>
            </w:r>
          </w:p>
        </w:tc>
        <w:tc>
          <w:tcPr>
            <w:tcW w:w="1077" w:type="dxa"/>
            <w:tcBorders>
              <w:top w:val="single" w:sz="2" w:space="0" w:color="auto"/>
              <w:left w:val="single" w:sz="2" w:space="0" w:color="auto"/>
              <w:bottom w:val="single" w:sz="2" w:space="0" w:color="auto"/>
              <w:right w:val="single" w:sz="2" w:space="0" w:color="auto"/>
            </w:tcBorders>
            <w:shd w:val="clear" w:color="auto" w:fill="FFC000"/>
            <w:vAlign w:val="center"/>
          </w:tcPr>
          <w:p w14:paraId="1EAE88A5" w14:textId="77777777" w:rsidR="008728DD" w:rsidRPr="008728DD" w:rsidRDefault="008728DD" w:rsidP="00A7577D">
            <w:pPr>
              <w:spacing w:before="120" w:after="120"/>
              <w:jc w:val="center"/>
              <w:rPr>
                <w:rFonts w:cs="Arial"/>
                <w:b/>
                <w:color w:val="000000" w:themeColor="text1"/>
                <w:sz w:val="18"/>
                <w:szCs w:val="18"/>
              </w:rPr>
            </w:pPr>
            <w:r w:rsidRPr="008728DD">
              <w:rPr>
                <w:b/>
                <w:sz w:val="18"/>
                <w:szCs w:val="18"/>
              </w:rPr>
              <w:t>13,639</w:t>
            </w:r>
          </w:p>
        </w:tc>
        <w:tc>
          <w:tcPr>
            <w:tcW w:w="1304" w:type="dxa"/>
            <w:tcBorders>
              <w:top w:val="single" w:sz="2" w:space="0" w:color="auto"/>
              <w:left w:val="single" w:sz="2" w:space="0" w:color="auto"/>
              <w:bottom w:val="single" w:sz="2" w:space="0" w:color="auto"/>
              <w:right w:val="single" w:sz="2" w:space="0" w:color="auto"/>
            </w:tcBorders>
            <w:shd w:val="clear" w:color="auto" w:fill="FF0000"/>
            <w:vAlign w:val="center"/>
          </w:tcPr>
          <w:p w14:paraId="28BCE8D1" w14:textId="77777777" w:rsidR="008728DD" w:rsidRPr="008728DD" w:rsidRDefault="008728DD" w:rsidP="00A7577D">
            <w:pPr>
              <w:spacing w:before="120" w:after="120"/>
              <w:jc w:val="center"/>
              <w:rPr>
                <w:rFonts w:cs="Arial"/>
                <w:b/>
                <w:color w:val="000000" w:themeColor="text1"/>
                <w:sz w:val="18"/>
                <w:szCs w:val="18"/>
              </w:rPr>
            </w:pPr>
            <w:r w:rsidRPr="008728DD">
              <w:rPr>
                <w:rFonts w:cstheme="minorHAnsi"/>
                <w:b/>
                <w:color w:val="000000" w:themeColor="text1"/>
                <w:sz w:val="18"/>
                <w:szCs w:val="18"/>
              </w:rPr>
              <w:t>&gt;16,000</w:t>
            </w:r>
          </w:p>
        </w:tc>
        <w:tc>
          <w:tcPr>
            <w:tcW w:w="2324" w:type="dxa"/>
            <w:tcBorders>
              <w:top w:val="single" w:sz="2" w:space="0" w:color="auto"/>
              <w:left w:val="single" w:sz="2" w:space="0" w:color="auto"/>
              <w:bottom w:val="single" w:sz="2" w:space="0" w:color="auto"/>
              <w:right w:val="single" w:sz="2" w:space="0" w:color="auto"/>
            </w:tcBorders>
            <w:shd w:val="clear" w:color="auto" w:fill="FF0000"/>
            <w:vAlign w:val="center"/>
          </w:tcPr>
          <w:p w14:paraId="723C5E12" w14:textId="77777777" w:rsidR="008728DD" w:rsidRPr="008728DD" w:rsidRDefault="008728DD" w:rsidP="00A7577D">
            <w:pPr>
              <w:spacing w:before="120" w:after="120"/>
              <w:jc w:val="center"/>
              <w:rPr>
                <w:rFonts w:cs="Arial"/>
                <w:b/>
                <w:color w:val="000000" w:themeColor="text1"/>
                <w:sz w:val="18"/>
                <w:szCs w:val="18"/>
              </w:rPr>
            </w:pPr>
            <w:r w:rsidRPr="008728DD">
              <w:rPr>
                <w:rFonts w:cstheme="minorHAnsi"/>
                <w:b/>
                <w:color w:val="000000" w:themeColor="text1"/>
                <w:sz w:val="18"/>
                <w:szCs w:val="18"/>
              </w:rPr>
              <w:t>&gt;16,000</w:t>
            </w:r>
          </w:p>
        </w:tc>
        <w:tc>
          <w:tcPr>
            <w:tcW w:w="2325" w:type="dxa"/>
            <w:tcBorders>
              <w:top w:val="single" w:sz="2" w:space="0" w:color="auto"/>
              <w:left w:val="single" w:sz="2" w:space="0" w:color="auto"/>
              <w:bottom w:val="single" w:sz="2" w:space="0" w:color="auto"/>
              <w:right w:val="single" w:sz="2" w:space="0" w:color="auto"/>
            </w:tcBorders>
            <w:shd w:val="clear" w:color="auto" w:fill="FFFF00"/>
            <w:vAlign w:val="center"/>
          </w:tcPr>
          <w:p w14:paraId="10F1CD51" w14:textId="77777777" w:rsidR="008728DD" w:rsidRPr="008728DD" w:rsidRDefault="008728DD" w:rsidP="00A7577D">
            <w:pPr>
              <w:spacing w:before="120" w:after="120"/>
              <w:jc w:val="center"/>
              <w:rPr>
                <w:rFonts w:cs="Arial"/>
                <w:b/>
                <w:color w:val="000000" w:themeColor="text1"/>
                <w:sz w:val="18"/>
                <w:szCs w:val="18"/>
              </w:rPr>
            </w:pPr>
            <w:r w:rsidRPr="008728DD">
              <w:rPr>
                <w:rFonts w:cstheme="minorHAnsi"/>
                <w:b/>
                <w:color w:val="000000" w:themeColor="text1"/>
                <w:sz w:val="18"/>
                <w:szCs w:val="18"/>
              </w:rPr>
              <w:t>12,000 -8,001</w:t>
            </w:r>
          </w:p>
        </w:tc>
      </w:tr>
    </w:tbl>
    <w:p w14:paraId="4698F662" w14:textId="7530F320" w:rsidR="001E469F" w:rsidRDefault="001E469F" w:rsidP="009F12CE">
      <w:pPr>
        <w:spacing w:after="0"/>
        <w:jc w:val="both"/>
        <w:rPr>
          <w:rFonts w:cs="Arial"/>
          <w:color w:val="000000" w:themeColor="text1"/>
          <w:sz w:val="22"/>
        </w:rPr>
      </w:pPr>
    </w:p>
    <w:p w14:paraId="71EC178C" w14:textId="095038B2" w:rsidR="001E469F" w:rsidRDefault="001E469F" w:rsidP="009F12CE">
      <w:pPr>
        <w:spacing w:after="0"/>
        <w:jc w:val="both"/>
        <w:rPr>
          <w:rFonts w:cs="Arial"/>
          <w:color w:val="000000" w:themeColor="text1"/>
          <w:sz w:val="22"/>
        </w:rPr>
      </w:pPr>
    </w:p>
    <w:p w14:paraId="659BA841" w14:textId="22605829" w:rsidR="001E469F" w:rsidRDefault="001E469F" w:rsidP="009F12CE">
      <w:pPr>
        <w:spacing w:after="0"/>
        <w:jc w:val="both"/>
        <w:rPr>
          <w:rFonts w:cs="Arial"/>
          <w:color w:val="000000" w:themeColor="text1"/>
          <w:sz w:val="22"/>
        </w:rPr>
      </w:pPr>
    </w:p>
    <w:p w14:paraId="6522EF2A" w14:textId="007748CC" w:rsidR="0033461B" w:rsidRDefault="0033461B" w:rsidP="009F12CE">
      <w:pPr>
        <w:spacing w:after="0"/>
        <w:jc w:val="both"/>
        <w:rPr>
          <w:rFonts w:cs="Arial"/>
          <w:color w:val="000000" w:themeColor="text1"/>
          <w:sz w:val="22"/>
        </w:rPr>
      </w:pPr>
    </w:p>
    <w:p w14:paraId="7B3069E9" w14:textId="77777777" w:rsidR="0033461B" w:rsidRDefault="0033461B" w:rsidP="009F12CE">
      <w:pPr>
        <w:spacing w:after="0"/>
        <w:jc w:val="both"/>
        <w:rPr>
          <w:rFonts w:cs="Arial"/>
          <w:color w:val="000000" w:themeColor="text1"/>
          <w:sz w:val="22"/>
        </w:rPr>
      </w:pPr>
    </w:p>
    <w:p w14:paraId="58970451" w14:textId="38D42AAE" w:rsidR="001E469F" w:rsidRDefault="0033461B" w:rsidP="009F12CE">
      <w:pPr>
        <w:spacing w:after="0"/>
        <w:jc w:val="both"/>
        <w:rPr>
          <w:rFonts w:cs="Arial"/>
          <w:color w:val="000000" w:themeColor="text1"/>
          <w:sz w:val="22"/>
        </w:rPr>
      </w:pPr>
      <w:r>
        <w:rPr>
          <w:b/>
        </w:rPr>
        <w:t>Traffic Signals Service Standards 2020/21 – 2024/25</w:t>
      </w:r>
    </w:p>
    <w:p w14:paraId="72D0F4FB" w14:textId="55533253" w:rsidR="0033461B" w:rsidRDefault="0033461B" w:rsidP="009F12CE">
      <w:pPr>
        <w:spacing w:after="0"/>
        <w:jc w:val="both"/>
        <w:rPr>
          <w:rFonts w:cs="Arial"/>
          <w:color w:val="000000" w:themeColor="text1"/>
          <w:sz w:val="22"/>
        </w:rPr>
      </w:pPr>
    </w:p>
    <w:tbl>
      <w:tblPr>
        <w:tblStyle w:val="TableGrid"/>
        <w:tblW w:w="14263" w:type="dxa"/>
        <w:tblInd w:w="108" w:type="dxa"/>
        <w:tblLayout w:type="fixed"/>
        <w:tblLook w:val="04A0" w:firstRow="1" w:lastRow="0" w:firstColumn="1" w:lastColumn="0" w:noHBand="0" w:noVBand="1"/>
      </w:tblPr>
      <w:tblGrid>
        <w:gridCol w:w="1304"/>
        <w:gridCol w:w="1704"/>
        <w:gridCol w:w="790"/>
        <w:gridCol w:w="1474"/>
        <w:gridCol w:w="907"/>
        <w:gridCol w:w="907"/>
        <w:gridCol w:w="1308"/>
        <w:gridCol w:w="993"/>
        <w:gridCol w:w="1474"/>
        <w:gridCol w:w="1191"/>
        <w:gridCol w:w="2211"/>
      </w:tblGrid>
      <w:tr w:rsidR="0033461B" w14:paraId="49AB6E70" w14:textId="77777777" w:rsidTr="0033461B">
        <w:trPr>
          <w:trHeight w:val="283"/>
        </w:trPr>
        <w:tc>
          <w:tcPr>
            <w:tcW w:w="1304" w:type="dxa"/>
            <w:vMerge w:val="restart"/>
            <w:tcBorders>
              <w:top w:val="single" w:sz="2" w:space="0" w:color="auto"/>
              <w:left w:val="single" w:sz="2" w:space="0" w:color="auto"/>
              <w:right w:val="single" w:sz="2" w:space="0" w:color="auto"/>
            </w:tcBorders>
            <w:shd w:val="clear" w:color="auto" w:fill="auto"/>
            <w:vAlign w:val="center"/>
          </w:tcPr>
          <w:p w14:paraId="1290FBFF"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Asset Category</w:t>
            </w:r>
          </w:p>
          <w:p w14:paraId="5F2016B7" w14:textId="77777777" w:rsidR="0033461B" w:rsidRPr="0033461B" w:rsidRDefault="0033461B" w:rsidP="00A7577D">
            <w:pPr>
              <w:jc w:val="center"/>
              <w:rPr>
                <w:rFonts w:cs="Arial"/>
                <w:b/>
                <w:color w:val="000000" w:themeColor="text1"/>
                <w:sz w:val="18"/>
                <w:szCs w:val="18"/>
              </w:rPr>
            </w:pPr>
          </w:p>
        </w:tc>
        <w:tc>
          <w:tcPr>
            <w:tcW w:w="1704" w:type="dxa"/>
            <w:vMerge w:val="restart"/>
            <w:tcBorders>
              <w:top w:val="single" w:sz="2" w:space="0" w:color="auto"/>
              <w:left w:val="single" w:sz="2" w:space="0" w:color="auto"/>
              <w:right w:val="single" w:sz="2" w:space="0" w:color="auto"/>
            </w:tcBorders>
            <w:shd w:val="clear" w:color="auto" w:fill="auto"/>
            <w:vAlign w:val="center"/>
          </w:tcPr>
          <w:p w14:paraId="6D144358"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Condition Measure</w:t>
            </w:r>
          </w:p>
        </w:tc>
        <w:tc>
          <w:tcPr>
            <w:tcW w:w="538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D687125" w14:textId="1E82B3D2" w:rsidR="0033461B" w:rsidRPr="0033461B" w:rsidRDefault="0033461B" w:rsidP="00A7577D">
            <w:pPr>
              <w:jc w:val="center"/>
              <w:rPr>
                <w:rFonts w:cs="Arial"/>
                <w:b/>
                <w:color w:val="000000" w:themeColor="text1"/>
                <w:sz w:val="18"/>
                <w:szCs w:val="18"/>
              </w:rPr>
            </w:pPr>
            <w:r>
              <w:rPr>
                <w:rFonts w:cs="Arial"/>
                <w:b/>
                <w:color w:val="000000" w:themeColor="text1"/>
                <w:sz w:val="18"/>
                <w:szCs w:val="18"/>
              </w:rPr>
              <w:t xml:space="preserve">LCC </w:t>
            </w:r>
            <w:r w:rsidRPr="0033461B">
              <w:rPr>
                <w:rFonts w:cs="Arial"/>
                <w:b/>
                <w:color w:val="000000" w:themeColor="text1"/>
                <w:sz w:val="18"/>
                <w:szCs w:val="18"/>
              </w:rPr>
              <w:t>Service Standards</w:t>
            </w:r>
          </w:p>
        </w:tc>
        <w:tc>
          <w:tcPr>
            <w:tcW w:w="586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AC95AC0"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Asset Condition</w:t>
            </w:r>
          </w:p>
        </w:tc>
      </w:tr>
      <w:tr w:rsidR="0033461B" w14:paraId="093AF223" w14:textId="77777777" w:rsidTr="0033461B">
        <w:trPr>
          <w:trHeight w:val="357"/>
        </w:trPr>
        <w:tc>
          <w:tcPr>
            <w:tcW w:w="1304" w:type="dxa"/>
            <w:vMerge/>
            <w:tcBorders>
              <w:left w:val="single" w:sz="2" w:space="0" w:color="auto"/>
              <w:right w:val="single" w:sz="2" w:space="0" w:color="auto"/>
            </w:tcBorders>
            <w:shd w:val="clear" w:color="auto" w:fill="auto"/>
            <w:vAlign w:val="center"/>
          </w:tcPr>
          <w:p w14:paraId="50B88DBC" w14:textId="77777777" w:rsidR="0033461B" w:rsidRPr="0033461B" w:rsidRDefault="0033461B" w:rsidP="00A7577D">
            <w:pPr>
              <w:jc w:val="center"/>
              <w:rPr>
                <w:rFonts w:cs="Arial"/>
                <w:b/>
                <w:color w:val="000000" w:themeColor="text1"/>
                <w:sz w:val="18"/>
                <w:szCs w:val="18"/>
              </w:rPr>
            </w:pPr>
          </w:p>
        </w:tc>
        <w:tc>
          <w:tcPr>
            <w:tcW w:w="1704" w:type="dxa"/>
            <w:vMerge/>
            <w:tcBorders>
              <w:left w:val="single" w:sz="2" w:space="0" w:color="auto"/>
              <w:right w:val="single" w:sz="2" w:space="0" w:color="auto"/>
            </w:tcBorders>
            <w:shd w:val="clear" w:color="auto" w:fill="auto"/>
            <w:vAlign w:val="center"/>
          </w:tcPr>
          <w:p w14:paraId="53225756" w14:textId="77777777" w:rsidR="0033461B" w:rsidRPr="0033461B" w:rsidRDefault="0033461B" w:rsidP="00A7577D">
            <w:pPr>
              <w:jc w:val="center"/>
              <w:rPr>
                <w:rFonts w:cs="Arial"/>
                <w:b/>
                <w:color w:val="000000" w:themeColor="text1"/>
                <w:sz w:val="18"/>
                <w:szCs w:val="18"/>
              </w:rPr>
            </w:pPr>
          </w:p>
        </w:tc>
        <w:tc>
          <w:tcPr>
            <w:tcW w:w="790" w:type="dxa"/>
            <w:vMerge w:val="restart"/>
            <w:tcBorders>
              <w:top w:val="single" w:sz="2" w:space="0" w:color="auto"/>
              <w:left w:val="single" w:sz="2" w:space="0" w:color="auto"/>
              <w:right w:val="single" w:sz="2" w:space="0" w:color="auto"/>
            </w:tcBorders>
            <w:shd w:val="clear" w:color="auto" w:fill="FF0000"/>
            <w:vAlign w:val="center"/>
          </w:tcPr>
          <w:p w14:paraId="677D699D"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POOR</w:t>
            </w:r>
          </w:p>
        </w:tc>
        <w:tc>
          <w:tcPr>
            <w:tcW w:w="1474" w:type="dxa"/>
            <w:vMerge w:val="restart"/>
            <w:tcBorders>
              <w:top w:val="single" w:sz="2" w:space="0" w:color="auto"/>
              <w:left w:val="single" w:sz="2" w:space="0" w:color="auto"/>
              <w:right w:val="single" w:sz="2" w:space="0" w:color="auto"/>
            </w:tcBorders>
            <w:shd w:val="clear" w:color="auto" w:fill="FFC000"/>
            <w:vAlign w:val="center"/>
          </w:tcPr>
          <w:p w14:paraId="5149910A"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A</w:t>
            </w:r>
            <w:r w:rsidRPr="0033461B">
              <w:rPr>
                <w:rFonts w:cs="Arial"/>
                <w:b/>
                <w:color w:val="000000" w:themeColor="text1"/>
                <w:sz w:val="18"/>
                <w:szCs w:val="18"/>
                <w:shd w:val="clear" w:color="auto" w:fill="FFC000"/>
              </w:rPr>
              <w:t>CCEPTABLE</w:t>
            </w:r>
          </w:p>
        </w:tc>
        <w:tc>
          <w:tcPr>
            <w:tcW w:w="907" w:type="dxa"/>
            <w:vMerge w:val="restart"/>
            <w:tcBorders>
              <w:top w:val="single" w:sz="2" w:space="0" w:color="auto"/>
              <w:left w:val="single" w:sz="2" w:space="0" w:color="auto"/>
              <w:right w:val="single" w:sz="2" w:space="0" w:color="auto"/>
            </w:tcBorders>
            <w:shd w:val="clear" w:color="auto" w:fill="FFFF00"/>
            <w:vAlign w:val="center"/>
          </w:tcPr>
          <w:p w14:paraId="0E4E00C8"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FAIR</w:t>
            </w:r>
          </w:p>
        </w:tc>
        <w:tc>
          <w:tcPr>
            <w:tcW w:w="907" w:type="dxa"/>
            <w:vMerge w:val="restart"/>
            <w:tcBorders>
              <w:top w:val="single" w:sz="2" w:space="0" w:color="auto"/>
              <w:left w:val="single" w:sz="2" w:space="0" w:color="auto"/>
              <w:right w:val="single" w:sz="2" w:space="0" w:color="auto"/>
            </w:tcBorders>
            <w:shd w:val="clear" w:color="auto" w:fill="92D050"/>
            <w:vAlign w:val="center"/>
          </w:tcPr>
          <w:p w14:paraId="6180AB75"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GOOD</w:t>
            </w:r>
          </w:p>
        </w:tc>
        <w:tc>
          <w:tcPr>
            <w:tcW w:w="1304" w:type="dxa"/>
            <w:vMerge w:val="restart"/>
            <w:tcBorders>
              <w:top w:val="single" w:sz="2" w:space="0" w:color="auto"/>
              <w:left w:val="single" w:sz="2" w:space="0" w:color="auto"/>
              <w:right w:val="single" w:sz="2" w:space="0" w:color="auto"/>
            </w:tcBorders>
            <w:shd w:val="clear" w:color="auto" w:fill="00B050"/>
            <w:vAlign w:val="center"/>
          </w:tcPr>
          <w:p w14:paraId="203E8731"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EXCELLENT</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9D5148E"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2019/20</w:t>
            </w:r>
          </w:p>
        </w:tc>
        <w:tc>
          <w:tcPr>
            <w:tcW w:w="48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E825671"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2024/25 End Year 5 - Target</w:t>
            </w:r>
          </w:p>
        </w:tc>
      </w:tr>
      <w:tr w:rsidR="0033461B" w14:paraId="3DF02A6D" w14:textId="77777777" w:rsidTr="0033461B">
        <w:trPr>
          <w:trHeight w:val="356"/>
        </w:trPr>
        <w:tc>
          <w:tcPr>
            <w:tcW w:w="1304" w:type="dxa"/>
            <w:vMerge/>
            <w:tcBorders>
              <w:left w:val="single" w:sz="2" w:space="0" w:color="auto"/>
              <w:bottom w:val="single" w:sz="2" w:space="0" w:color="auto"/>
              <w:right w:val="single" w:sz="2" w:space="0" w:color="auto"/>
            </w:tcBorders>
            <w:shd w:val="clear" w:color="auto" w:fill="auto"/>
            <w:vAlign w:val="center"/>
          </w:tcPr>
          <w:p w14:paraId="3567EE53" w14:textId="77777777" w:rsidR="0033461B" w:rsidRPr="0033461B" w:rsidRDefault="0033461B" w:rsidP="00A7577D">
            <w:pPr>
              <w:jc w:val="center"/>
              <w:rPr>
                <w:rFonts w:cs="Arial"/>
                <w:b/>
                <w:color w:val="000000" w:themeColor="text1"/>
                <w:sz w:val="18"/>
                <w:szCs w:val="18"/>
              </w:rPr>
            </w:pPr>
          </w:p>
        </w:tc>
        <w:tc>
          <w:tcPr>
            <w:tcW w:w="1704" w:type="dxa"/>
            <w:vMerge/>
            <w:tcBorders>
              <w:left w:val="single" w:sz="2" w:space="0" w:color="auto"/>
              <w:bottom w:val="single" w:sz="2" w:space="0" w:color="auto"/>
              <w:right w:val="single" w:sz="2" w:space="0" w:color="auto"/>
            </w:tcBorders>
            <w:shd w:val="clear" w:color="auto" w:fill="auto"/>
            <w:vAlign w:val="center"/>
          </w:tcPr>
          <w:p w14:paraId="6F2EB62C" w14:textId="77777777" w:rsidR="0033461B" w:rsidRPr="0033461B" w:rsidRDefault="0033461B" w:rsidP="00A7577D">
            <w:pPr>
              <w:jc w:val="center"/>
              <w:rPr>
                <w:rFonts w:cs="Arial"/>
                <w:b/>
                <w:color w:val="000000" w:themeColor="text1"/>
                <w:sz w:val="18"/>
                <w:szCs w:val="18"/>
              </w:rPr>
            </w:pPr>
          </w:p>
        </w:tc>
        <w:tc>
          <w:tcPr>
            <w:tcW w:w="790" w:type="dxa"/>
            <w:vMerge/>
            <w:tcBorders>
              <w:left w:val="single" w:sz="2" w:space="0" w:color="auto"/>
              <w:bottom w:val="single" w:sz="2" w:space="0" w:color="auto"/>
              <w:right w:val="single" w:sz="2" w:space="0" w:color="auto"/>
            </w:tcBorders>
            <w:shd w:val="clear" w:color="auto" w:fill="FF0000"/>
            <w:vAlign w:val="center"/>
          </w:tcPr>
          <w:p w14:paraId="6E0FB5E2" w14:textId="77777777" w:rsidR="0033461B" w:rsidRPr="0033461B" w:rsidRDefault="0033461B" w:rsidP="00A7577D">
            <w:pPr>
              <w:jc w:val="center"/>
              <w:rPr>
                <w:rFonts w:cs="Arial"/>
                <w:b/>
                <w:color w:val="000000" w:themeColor="text1"/>
                <w:sz w:val="18"/>
                <w:szCs w:val="18"/>
              </w:rPr>
            </w:pPr>
          </w:p>
        </w:tc>
        <w:tc>
          <w:tcPr>
            <w:tcW w:w="1474" w:type="dxa"/>
            <w:vMerge/>
            <w:tcBorders>
              <w:left w:val="single" w:sz="2" w:space="0" w:color="auto"/>
              <w:bottom w:val="single" w:sz="2" w:space="0" w:color="auto"/>
              <w:right w:val="single" w:sz="2" w:space="0" w:color="auto"/>
            </w:tcBorders>
            <w:shd w:val="clear" w:color="auto" w:fill="FFC000"/>
            <w:vAlign w:val="center"/>
          </w:tcPr>
          <w:p w14:paraId="6BC1A1B3" w14:textId="77777777" w:rsidR="0033461B" w:rsidRPr="0033461B" w:rsidRDefault="0033461B" w:rsidP="00A7577D">
            <w:pPr>
              <w:jc w:val="center"/>
              <w:rPr>
                <w:rFonts w:cs="Arial"/>
                <w:b/>
                <w:color w:val="000000" w:themeColor="text1"/>
                <w:sz w:val="18"/>
                <w:szCs w:val="18"/>
              </w:rPr>
            </w:pPr>
          </w:p>
        </w:tc>
        <w:tc>
          <w:tcPr>
            <w:tcW w:w="907" w:type="dxa"/>
            <w:vMerge/>
            <w:tcBorders>
              <w:left w:val="single" w:sz="2" w:space="0" w:color="auto"/>
              <w:bottom w:val="single" w:sz="2" w:space="0" w:color="auto"/>
              <w:right w:val="single" w:sz="2" w:space="0" w:color="auto"/>
            </w:tcBorders>
            <w:shd w:val="clear" w:color="auto" w:fill="FFFF00"/>
            <w:vAlign w:val="center"/>
          </w:tcPr>
          <w:p w14:paraId="7E6540F1" w14:textId="77777777" w:rsidR="0033461B" w:rsidRPr="0033461B" w:rsidRDefault="0033461B" w:rsidP="00A7577D">
            <w:pPr>
              <w:jc w:val="center"/>
              <w:rPr>
                <w:rFonts w:cs="Arial"/>
                <w:b/>
                <w:color w:val="000000" w:themeColor="text1"/>
                <w:sz w:val="18"/>
                <w:szCs w:val="18"/>
              </w:rPr>
            </w:pPr>
          </w:p>
        </w:tc>
        <w:tc>
          <w:tcPr>
            <w:tcW w:w="907" w:type="dxa"/>
            <w:vMerge/>
            <w:tcBorders>
              <w:left w:val="single" w:sz="2" w:space="0" w:color="auto"/>
              <w:bottom w:val="single" w:sz="2" w:space="0" w:color="auto"/>
              <w:right w:val="single" w:sz="2" w:space="0" w:color="auto"/>
            </w:tcBorders>
            <w:shd w:val="clear" w:color="auto" w:fill="92D050"/>
            <w:vAlign w:val="center"/>
          </w:tcPr>
          <w:p w14:paraId="0D795391" w14:textId="77777777" w:rsidR="0033461B" w:rsidRPr="0033461B" w:rsidRDefault="0033461B" w:rsidP="00A7577D">
            <w:pPr>
              <w:jc w:val="center"/>
              <w:rPr>
                <w:rFonts w:cs="Arial"/>
                <w:b/>
                <w:color w:val="000000" w:themeColor="text1"/>
                <w:sz w:val="18"/>
                <w:szCs w:val="18"/>
              </w:rPr>
            </w:pPr>
          </w:p>
        </w:tc>
        <w:tc>
          <w:tcPr>
            <w:tcW w:w="1304" w:type="dxa"/>
            <w:vMerge/>
            <w:tcBorders>
              <w:left w:val="single" w:sz="2" w:space="0" w:color="auto"/>
              <w:bottom w:val="single" w:sz="2" w:space="0" w:color="auto"/>
              <w:right w:val="single" w:sz="2" w:space="0" w:color="auto"/>
            </w:tcBorders>
            <w:shd w:val="clear" w:color="auto" w:fill="00B050"/>
            <w:vAlign w:val="center"/>
          </w:tcPr>
          <w:p w14:paraId="02879874" w14:textId="77777777" w:rsidR="0033461B" w:rsidRPr="0033461B" w:rsidRDefault="0033461B" w:rsidP="00A7577D">
            <w:pPr>
              <w:jc w:val="center"/>
              <w:rPr>
                <w:rFonts w:cs="Arial"/>
                <w:b/>
                <w:color w:val="000000" w:themeColor="text1"/>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6F04527"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Base</w:t>
            </w:r>
          </w:p>
        </w:tc>
        <w:tc>
          <w:tcPr>
            <w:tcW w:w="1474" w:type="dxa"/>
            <w:tcBorders>
              <w:top w:val="single" w:sz="2" w:space="0" w:color="auto"/>
              <w:left w:val="single" w:sz="2" w:space="0" w:color="auto"/>
              <w:bottom w:val="single" w:sz="2" w:space="0" w:color="auto"/>
              <w:right w:val="single" w:sz="2" w:space="0" w:color="auto"/>
            </w:tcBorders>
            <w:vAlign w:val="center"/>
          </w:tcPr>
          <w:p w14:paraId="6A99A6AF"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Current Funding Levels (£600k)</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center"/>
          </w:tcPr>
          <w:p w14:paraId="239C7D4A"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Basic TAMP (£1.225m)</w:t>
            </w:r>
          </w:p>
        </w:tc>
        <w:tc>
          <w:tcPr>
            <w:tcW w:w="2211" w:type="dxa"/>
            <w:tcBorders>
              <w:top w:val="single" w:sz="2" w:space="0" w:color="auto"/>
              <w:left w:val="single" w:sz="2" w:space="0" w:color="auto"/>
              <w:bottom w:val="single" w:sz="2" w:space="0" w:color="auto"/>
              <w:right w:val="single" w:sz="2" w:space="0" w:color="auto"/>
            </w:tcBorders>
            <w:shd w:val="clear" w:color="auto" w:fill="auto"/>
            <w:vAlign w:val="center"/>
          </w:tcPr>
          <w:p w14:paraId="457F4112" w14:textId="77777777" w:rsidR="0033461B" w:rsidRPr="0033461B" w:rsidRDefault="0033461B" w:rsidP="00A7577D">
            <w:pPr>
              <w:jc w:val="center"/>
              <w:rPr>
                <w:b/>
                <w:color w:val="000000" w:themeColor="text1"/>
                <w:sz w:val="18"/>
                <w:szCs w:val="18"/>
              </w:rPr>
            </w:pPr>
            <w:r w:rsidRPr="0033461B">
              <w:rPr>
                <w:rFonts w:cs="Arial"/>
                <w:b/>
                <w:color w:val="000000" w:themeColor="text1"/>
                <w:sz w:val="18"/>
                <w:szCs w:val="18"/>
              </w:rPr>
              <w:t>Capital Strategy: Risk Managed Funding (£2.4m)</w:t>
            </w:r>
          </w:p>
        </w:tc>
      </w:tr>
      <w:tr w:rsidR="0033461B" w14:paraId="0320D053" w14:textId="77777777" w:rsidTr="0033461B">
        <w:trPr>
          <w:trHeight w:val="443"/>
        </w:trPr>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41987E1A" w14:textId="77777777" w:rsidR="0033461B" w:rsidRPr="0033461B" w:rsidRDefault="0033461B" w:rsidP="00A7577D">
            <w:pPr>
              <w:jc w:val="center"/>
              <w:rPr>
                <w:rFonts w:cstheme="minorHAnsi"/>
                <w:b/>
                <w:color w:val="000000" w:themeColor="text1"/>
                <w:sz w:val="18"/>
                <w:szCs w:val="18"/>
              </w:rPr>
            </w:pPr>
            <w:r w:rsidRPr="0033461B">
              <w:rPr>
                <w:rFonts w:cs="Arial"/>
                <w:b/>
                <w:color w:val="000000" w:themeColor="text1"/>
                <w:sz w:val="18"/>
                <w:szCs w:val="18"/>
              </w:rPr>
              <w:t>Traffic Signals</w:t>
            </w:r>
          </w:p>
        </w:tc>
        <w:tc>
          <w:tcPr>
            <w:tcW w:w="1704" w:type="dxa"/>
            <w:tcBorders>
              <w:top w:val="single" w:sz="2" w:space="0" w:color="auto"/>
              <w:left w:val="single" w:sz="2" w:space="0" w:color="auto"/>
              <w:bottom w:val="single" w:sz="2" w:space="0" w:color="auto"/>
              <w:right w:val="single" w:sz="2" w:space="0" w:color="auto"/>
            </w:tcBorders>
            <w:shd w:val="clear" w:color="auto" w:fill="auto"/>
            <w:vAlign w:val="center"/>
          </w:tcPr>
          <w:p w14:paraId="122A7182" w14:textId="77777777" w:rsidR="0033461B" w:rsidRPr="0033461B" w:rsidRDefault="0033461B" w:rsidP="00A7577D">
            <w:pPr>
              <w:spacing w:before="120" w:after="120"/>
              <w:jc w:val="center"/>
              <w:rPr>
                <w:rFonts w:cs="Arial"/>
                <w:b/>
                <w:color w:val="000000" w:themeColor="text1"/>
                <w:sz w:val="18"/>
                <w:szCs w:val="18"/>
              </w:rPr>
            </w:pPr>
            <w:r w:rsidRPr="0033461B">
              <w:rPr>
                <w:rFonts w:cs="Arial"/>
                <w:b/>
                <w:color w:val="000000" w:themeColor="text1"/>
                <w:sz w:val="18"/>
                <w:szCs w:val="18"/>
              </w:rPr>
              <w:t>No. of obsolete and vulnerable traffic signal sites*</w:t>
            </w:r>
          </w:p>
        </w:tc>
        <w:tc>
          <w:tcPr>
            <w:tcW w:w="790" w:type="dxa"/>
            <w:tcBorders>
              <w:top w:val="single" w:sz="2" w:space="0" w:color="auto"/>
              <w:left w:val="single" w:sz="2" w:space="0" w:color="auto"/>
              <w:bottom w:val="single" w:sz="2" w:space="0" w:color="auto"/>
              <w:right w:val="single" w:sz="2" w:space="0" w:color="auto"/>
            </w:tcBorders>
            <w:shd w:val="clear" w:color="auto" w:fill="FF0000"/>
            <w:vAlign w:val="center"/>
          </w:tcPr>
          <w:p w14:paraId="01513556"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&gt;270</w:t>
            </w:r>
          </w:p>
        </w:tc>
        <w:tc>
          <w:tcPr>
            <w:tcW w:w="1474" w:type="dxa"/>
            <w:tcBorders>
              <w:top w:val="single" w:sz="2" w:space="0" w:color="auto"/>
              <w:left w:val="single" w:sz="2" w:space="0" w:color="auto"/>
              <w:bottom w:val="single" w:sz="2" w:space="0" w:color="auto"/>
              <w:right w:val="single" w:sz="2" w:space="0" w:color="auto"/>
            </w:tcBorders>
            <w:shd w:val="clear" w:color="auto" w:fill="FFC000"/>
            <w:vAlign w:val="center"/>
          </w:tcPr>
          <w:p w14:paraId="2377E50F"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270 - 201</w:t>
            </w:r>
          </w:p>
        </w:tc>
        <w:tc>
          <w:tcPr>
            <w:tcW w:w="907" w:type="dxa"/>
            <w:tcBorders>
              <w:top w:val="single" w:sz="2" w:space="0" w:color="auto"/>
              <w:left w:val="single" w:sz="2" w:space="0" w:color="auto"/>
              <w:bottom w:val="single" w:sz="2" w:space="0" w:color="auto"/>
              <w:right w:val="single" w:sz="2" w:space="0" w:color="auto"/>
            </w:tcBorders>
            <w:shd w:val="clear" w:color="auto" w:fill="FFFF00"/>
            <w:vAlign w:val="center"/>
          </w:tcPr>
          <w:p w14:paraId="499B287F"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200 -135</w:t>
            </w:r>
          </w:p>
        </w:tc>
        <w:tc>
          <w:tcPr>
            <w:tcW w:w="907" w:type="dxa"/>
            <w:tcBorders>
              <w:top w:val="single" w:sz="2" w:space="0" w:color="auto"/>
              <w:left w:val="single" w:sz="2" w:space="0" w:color="auto"/>
              <w:bottom w:val="single" w:sz="2" w:space="0" w:color="auto"/>
              <w:right w:val="single" w:sz="2" w:space="0" w:color="auto"/>
            </w:tcBorders>
            <w:shd w:val="clear" w:color="auto" w:fill="92D050"/>
            <w:vAlign w:val="center"/>
          </w:tcPr>
          <w:p w14:paraId="606D7061"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134 - 70</w:t>
            </w:r>
          </w:p>
        </w:tc>
        <w:tc>
          <w:tcPr>
            <w:tcW w:w="1304" w:type="dxa"/>
            <w:tcBorders>
              <w:top w:val="single" w:sz="2" w:space="0" w:color="auto"/>
              <w:left w:val="single" w:sz="2" w:space="0" w:color="auto"/>
              <w:bottom w:val="single" w:sz="2" w:space="0" w:color="auto"/>
              <w:right w:val="single" w:sz="2" w:space="0" w:color="auto"/>
            </w:tcBorders>
            <w:shd w:val="clear" w:color="auto" w:fill="00B050"/>
            <w:vAlign w:val="center"/>
          </w:tcPr>
          <w:p w14:paraId="617D3278"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&lt;70</w:t>
            </w:r>
          </w:p>
        </w:tc>
        <w:tc>
          <w:tcPr>
            <w:tcW w:w="993" w:type="dxa"/>
            <w:tcBorders>
              <w:top w:val="single" w:sz="2" w:space="0" w:color="auto"/>
              <w:left w:val="single" w:sz="2" w:space="0" w:color="auto"/>
              <w:bottom w:val="single" w:sz="2" w:space="0" w:color="auto"/>
              <w:right w:val="single" w:sz="2" w:space="0" w:color="auto"/>
            </w:tcBorders>
            <w:shd w:val="clear" w:color="auto" w:fill="FF0000"/>
            <w:vAlign w:val="center"/>
          </w:tcPr>
          <w:p w14:paraId="1B0621C1"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337</w:t>
            </w:r>
          </w:p>
        </w:tc>
        <w:tc>
          <w:tcPr>
            <w:tcW w:w="1474" w:type="dxa"/>
            <w:tcBorders>
              <w:top w:val="single" w:sz="2" w:space="0" w:color="auto"/>
              <w:left w:val="single" w:sz="2" w:space="0" w:color="auto"/>
              <w:bottom w:val="single" w:sz="2" w:space="0" w:color="auto"/>
              <w:right w:val="single" w:sz="2" w:space="0" w:color="auto"/>
            </w:tcBorders>
            <w:shd w:val="clear" w:color="auto" w:fill="FF0000"/>
            <w:vAlign w:val="center"/>
          </w:tcPr>
          <w:p w14:paraId="55499BC4"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313</w:t>
            </w:r>
          </w:p>
        </w:tc>
        <w:tc>
          <w:tcPr>
            <w:tcW w:w="1191" w:type="dxa"/>
            <w:tcBorders>
              <w:top w:val="single" w:sz="2" w:space="0" w:color="auto"/>
              <w:left w:val="single" w:sz="2" w:space="0" w:color="auto"/>
              <w:bottom w:val="single" w:sz="2" w:space="0" w:color="auto"/>
              <w:right w:val="single" w:sz="2" w:space="0" w:color="auto"/>
            </w:tcBorders>
            <w:shd w:val="clear" w:color="auto" w:fill="FF0000"/>
            <w:vAlign w:val="center"/>
          </w:tcPr>
          <w:p w14:paraId="03E97FF4"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289</w:t>
            </w:r>
          </w:p>
        </w:tc>
        <w:tc>
          <w:tcPr>
            <w:tcW w:w="2211" w:type="dxa"/>
            <w:tcBorders>
              <w:top w:val="single" w:sz="2" w:space="0" w:color="auto"/>
              <w:left w:val="single" w:sz="2" w:space="0" w:color="auto"/>
              <w:bottom w:val="single" w:sz="2" w:space="0" w:color="auto"/>
              <w:right w:val="single" w:sz="2" w:space="0" w:color="auto"/>
            </w:tcBorders>
            <w:shd w:val="clear" w:color="auto" w:fill="FFC000"/>
            <w:vAlign w:val="center"/>
          </w:tcPr>
          <w:p w14:paraId="2FDE6DA3" w14:textId="77777777" w:rsidR="0033461B" w:rsidRPr="0033461B" w:rsidRDefault="0033461B" w:rsidP="00A7577D">
            <w:pPr>
              <w:jc w:val="center"/>
              <w:rPr>
                <w:rFonts w:cs="Arial"/>
                <w:b/>
                <w:color w:val="000000" w:themeColor="text1"/>
                <w:sz w:val="18"/>
                <w:szCs w:val="18"/>
              </w:rPr>
            </w:pPr>
            <w:r w:rsidRPr="0033461B">
              <w:rPr>
                <w:rFonts w:cs="Arial"/>
                <w:b/>
                <w:color w:val="000000" w:themeColor="text1"/>
                <w:sz w:val="18"/>
                <w:szCs w:val="18"/>
              </w:rPr>
              <w:t>241</w:t>
            </w:r>
          </w:p>
        </w:tc>
      </w:tr>
    </w:tbl>
    <w:p w14:paraId="34D9C5DD" w14:textId="2188762B" w:rsidR="001E469F" w:rsidRDefault="001E469F" w:rsidP="009F12CE">
      <w:pPr>
        <w:spacing w:after="0"/>
        <w:jc w:val="both"/>
        <w:rPr>
          <w:rFonts w:cs="Arial"/>
          <w:color w:val="000000" w:themeColor="text1"/>
          <w:sz w:val="22"/>
        </w:rPr>
      </w:pPr>
    </w:p>
    <w:p w14:paraId="0B2A2305" w14:textId="6A8E30A9" w:rsidR="001E469F" w:rsidRDefault="001E469F" w:rsidP="009F12CE">
      <w:pPr>
        <w:spacing w:after="0"/>
        <w:jc w:val="both"/>
        <w:rPr>
          <w:rFonts w:cs="Arial"/>
          <w:color w:val="000000" w:themeColor="text1"/>
          <w:sz w:val="22"/>
        </w:rPr>
      </w:pPr>
    </w:p>
    <w:p w14:paraId="6BEDA5EC" w14:textId="17034978" w:rsidR="001E469F" w:rsidRDefault="001E469F" w:rsidP="009F12CE">
      <w:pPr>
        <w:spacing w:after="0"/>
        <w:jc w:val="both"/>
        <w:rPr>
          <w:rFonts w:cs="Arial"/>
          <w:color w:val="000000" w:themeColor="text1"/>
          <w:sz w:val="22"/>
        </w:rPr>
      </w:pPr>
    </w:p>
    <w:p w14:paraId="74264872" w14:textId="7BB64508" w:rsidR="001E469F" w:rsidRDefault="001E469F" w:rsidP="009F12CE">
      <w:pPr>
        <w:spacing w:after="0"/>
        <w:jc w:val="both"/>
        <w:rPr>
          <w:rFonts w:cs="Arial"/>
          <w:color w:val="000000" w:themeColor="text1"/>
          <w:sz w:val="22"/>
        </w:rPr>
      </w:pPr>
    </w:p>
    <w:p w14:paraId="1A833B6B" w14:textId="378B46EC" w:rsidR="001E469F" w:rsidRDefault="001E469F" w:rsidP="009F12CE">
      <w:pPr>
        <w:spacing w:after="0"/>
        <w:jc w:val="both"/>
        <w:rPr>
          <w:rFonts w:cs="Arial"/>
          <w:color w:val="000000" w:themeColor="text1"/>
          <w:sz w:val="22"/>
        </w:rPr>
      </w:pPr>
    </w:p>
    <w:p w14:paraId="752C9769" w14:textId="4AB98284" w:rsidR="001E469F" w:rsidRDefault="001E469F" w:rsidP="009F12CE">
      <w:pPr>
        <w:spacing w:after="0"/>
        <w:jc w:val="both"/>
        <w:rPr>
          <w:rFonts w:cs="Arial"/>
          <w:color w:val="000000" w:themeColor="text1"/>
          <w:sz w:val="22"/>
        </w:rPr>
      </w:pPr>
    </w:p>
    <w:p w14:paraId="49D0E708" w14:textId="6E3BF904" w:rsidR="001E469F" w:rsidRDefault="001E469F" w:rsidP="009F12CE">
      <w:pPr>
        <w:spacing w:after="0"/>
        <w:jc w:val="both"/>
        <w:rPr>
          <w:rFonts w:cs="Arial"/>
          <w:color w:val="000000" w:themeColor="text1"/>
          <w:sz w:val="22"/>
        </w:rPr>
      </w:pPr>
    </w:p>
    <w:p w14:paraId="0DCD09DD" w14:textId="77777777" w:rsidR="001E469F" w:rsidRPr="009A025D" w:rsidRDefault="001E469F" w:rsidP="009F12CE">
      <w:pPr>
        <w:spacing w:after="0"/>
        <w:jc w:val="both"/>
        <w:rPr>
          <w:rFonts w:cs="Arial"/>
          <w:color w:val="000000" w:themeColor="text1"/>
          <w:sz w:val="22"/>
        </w:rPr>
      </w:pPr>
    </w:p>
    <w:p w14:paraId="1D5C75FD" w14:textId="77777777" w:rsidR="00315F7C" w:rsidRDefault="00315F7C" w:rsidP="00315F7C">
      <w:pPr>
        <w:spacing w:after="0"/>
      </w:pPr>
    </w:p>
    <w:p w14:paraId="7F272A72" w14:textId="77777777" w:rsidR="00E702A2" w:rsidRDefault="00E702A2">
      <w:pPr>
        <w:sectPr w:rsidR="00E702A2" w:rsidSect="008A0D11">
          <w:type w:val="continuous"/>
          <w:pgSz w:w="16838" w:h="11906" w:orient="landscape"/>
          <w:pgMar w:top="1134" w:right="1134" w:bottom="1134" w:left="1134" w:header="709" w:footer="709" w:gutter="0"/>
          <w:cols w:space="708"/>
          <w:docGrid w:linePitch="360"/>
        </w:sectPr>
      </w:pPr>
    </w:p>
    <w:p w14:paraId="1C9458D1" w14:textId="77777777" w:rsidR="00315F7C" w:rsidRPr="00315F7C" w:rsidRDefault="00315F7C" w:rsidP="00E702A2">
      <w:pPr>
        <w:spacing w:after="0"/>
        <w:jc w:val="right"/>
        <w:rPr>
          <w:b/>
          <w:color w:val="000000" w:themeColor="text1"/>
        </w:rPr>
      </w:pPr>
      <w:r w:rsidRPr="00315F7C">
        <w:rPr>
          <w:b/>
          <w:color w:val="000000" w:themeColor="text1"/>
        </w:rPr>
        <w:lastRenderedPageBreak/>
        <w:t>Appendix 5</w:t>
      </w:r>
    </w:p>
    <w:p w14:paraId="02201815" w14:textId="2C2A5959" w:rsidR="00315F7C" w:rsidRPr="00315F7C" w:rsidRDefault="00315F7C" w:rsidP="00315F7C">
      <w:pPr>
        <w:spacing w:after="0"/>
        <w:jc w:val="both"/>
        <w:rPr>
          <w:b/>
          <w:color w:val="000000" w:themeColor="text1"/>
        </w:rPr>
      </w:pPr>
      <w:r w:rsidRPr="00315F7C">
        <w:rPr>
          <w:b/>
          <w:color w:val="000000" w:themeColor="text1"/>
        </w:rPr>
        <w:t xml:space="preserve">Methodology to </w:t>
      </w:r>
      <w:r w:rsidR="005F20B9">
        <w:rPr>
          <w:b/>
          <w:color w:val="000000" w:themeColor="text1"/>
        </w:rPr>
        <w:t>W</w:t>
      </w:r>
      <w:r w:rsidRPr="00315F7C">
        <w:rPr>
          <w:b/>
          <w:color w:val="000000" w:themeColor="text1"/>
        </w:rPr>
        <w:t>ork</w:t>
      </w:r>
      <w:r w:rsidR="005F20B9">
        <w:rPr>
          <w:b/>
          <w:color w:val="000000" w:themeColor="text1"/>
        </w:rPr>
        <w:t>o</w:t>
      </w:r>
      <w:r w:rsidRPr="00315F7C">
        <w:rPr>
          <w:b/>
          <w:color w:val="000000" w:themeColor="text1"/>
        </w:rPr>
        <w:t xml:space="preserve">ut </w:t>
      </w:r>
      <w:r w:rsidR="005F20B9">
        <w:rPr>
          <w:b/>
          <w:color w:val="000000" w:themeColor="text1"/>
        </w:rPr>
        <w:t>O</w:t>
      </w:r>
      <w:r w:rsidRPr="00315F7C">
        <w:rPr>
          <w:b/>
          <w:color w:val="000000" w:themeColor="text1"/>
        </w:rPr>
        <w:t xml:space="preserve">verall </w:t>
      </w:r>
      <w:r w:rsidR="005F20B9">
        <w:rPr>
          <w:b/>
          <w:color w:val="000000" w:themeColor="text1"/>
        </w:rPr>
        <w:t>A</w:t>
      </w:r>
      <w:r w:rsidRPr="00315F7C">
        <w:rPr>
          <w:b/>
          <w:color w:val="000000" w:themeColor="text1"/>
        </w:rPr>
        <w:t xml:space="preserve">sset </w:t>
      </w:r>
      <w:r w:rsidR="005F20B9">
        <w:rPr>
          <w:b/>
          <w:color w:val="000000" w:themeColor="text1"/>
        </w:rPr>
        <w:t>C</w:t>
      </w:r>
      <w:r w:rsidRPr="00315F7C">
        <w:rPr>
          <w:b/>
          <w:color w:val="000000" w:themeColor="text1"/>
        </w:rPr>
        <w:t>ondition</w:t>
      </w:r>
    </w:p>
    <w:p w14:paraId="24487C0D" w14:textId="77777777" w:rsidR="00315F7C" w:rsidRDefault="00315F7C" w:rsidP="00315F7C">
      <w:pPr>
        <w:spacing w:after="0"/>
        <w:jc w:val="both"/>
        <w:rPr>
          <w:color w:val="000000" w:themeColor="text1"/>
        </w:rPr>
      </w:pPr>
    </w:p>
    <w:p w14:paraId="0BCBCED4" w14:textId="1E887F0E" w:rsidR="00E702A2" w:rsidRDefault="00315F7C" w:rsidP="00315F7C">
      <w:pPr>
        <w:spacing w:after="0"/>
        <w:jc w:val="both"/>
        <w:rPr>
          <w:color w:val="000000" w:themeColor="text1"/>
        </w:rPr>
      </w:pPr>
      <w:r w:rsidRPr="00847B19">
        <w:rPr>
          <w:color w:val="000000" w:themeColor="text1"/>
        </w:rPr>
        <w:t xml:space="preserve">The overall condition of the transport infrastructure asset has been determined by assigning scores to each service </w:t>
      </w:r>
      <w:r w:rsidR="00E702A2" w:rsidRPr="00847B19">
        <w:rPr>
          <w:color w:val="000000" w:themeColor="text1"/>
        </w:rPr>
        <w:t>standard</w:t>
      </w:r>
      <w:r w:rsidR="00E702A2">
        <w:rPr>
          <w:color w:val="000000" w:themeColor="text1"/>
        </w:rPr>
        <w:t xml:space="preserve">s shown </w:t>
      </w:r>
      <w:r w:rsidR="00C85DB2">
        <w:rPr>
          <w:color w:val="000000" w:themeColor="text1"/>
        </w:rPr>
        <w:t>below: -</w:t>
      </w:r>
    </w:p>
    <w:p w14:paraId="24CA45CD" w14:textId="77777777" w:rsidR="00E702A2" w:rsidRDefault="00E702A2" w:rsidP="00315F7C">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173"/>
        <w:gridCol w:w="1659"/>
        <w:gridCol w:w="1224"/>
        <w:gridCol w:w="1270"/>
        <w:gridCol w:w="1487"/>
      </w:tblGrid>
      <w:tr w:rsidR="00E702A2" w14:paraId="22B9387D" w14:textId="77777777" w:rsidTr="00842536">
        <w:trPr>
          <w:trHeight w:val="283"/>
        </w:trPr>
        <w:tc>
          <w:tcPr>
            <w:tcW w:w="6813" w:type="dxa"/>
            <w:gridSpan w:val="5"/>
            <w:shd w:val="clear" w:color="auto" w:fill="FABF8F" w:themeFill="accent6" w:themeFillTint="99"/>
          </w:tcPr>
          <w:p w14:paraId="7EE49872" w14:textId="77777777" w:rsidR="00E702A2" w:rsidRPr="00757AEC" w:rsidRDefault="00E702A2" w:rsidP="00842536">
            <w:pPr>
              <w:jc w:val="center"/>
              <w:rPr>
                <w:b/>
                <w:color w:val="000000" w:themeColor="text1"/>
                <w:sz w:val="20"/>
                <w:szCs w:val="20"/>
              </w:rPr>
            </w:pPr>
            <w:r w:rsidRPr="00757AEC">
              <w:rPr>
                <w:b/>
                <w:color w:val="000000" w:themeColor="text1"/>
                <w:sz w:val="20"/>
                <w:szCs w:val="20"/>
              </w:rPr>
              <w:t>Scores per Service Standard</w:t>
            </w:r>
          </w:p>
        </w:tc>
      </w:tr>
      <w:tr w:rsidR="00E702A2" w14:paraId="7BE5DDC8" w14:textId="77777777" w:rsidTr="00842536">
        <w:trPr>
          <w:trHeight w:val="283"/>
        </w:trPr>
        <w:tc>
          <w:tcPr>
            <w:tcW w:w="1173" w:type="dxa"/>
            <w:shd w:val="clear" w:color="auto" w:fill="FF0000"/>
            <w:vAlign w:val="center"/>
          </w:tcPr>
          <w:p w14:paraId="36B8DC9E" w14:textId="77777777" w:rsidR="00E702A2" w:rsidRPr="00C90008" w:rsidRDefault="00E702A2" w:rsidP="00842536">
            <w:pPr>
              <w:jc w:val="center"/>
              <w:rPr>
                <w:b/>
                <w:color w:val="FFFFFF" w:themeColor="background1"/>
                <w:sz w:val="21"/>
                <w:szCs w:val="21"/>
              </w:rPr>
            </w:pPr>
            <w:r w:rsidRPr="00C90008">
              <w:rPr>
                <w:b/>
                <w:color w:val="FFFFFF" w:themeColor="background1"/>
                <w:sz w:val="21"/>
                <w:szCs w:val="21"/>
              </w:rPr>
              <w:t>POOR</w:t>
            </w:r>
          </w:p>
        </w:tc>
        <w:tc>
          <w:tcPr>
            <w:tcW w:w="1659" w:type="dxa"/>
            <w:shd w:val="clear" w:color="auto" w:fill="FFC000"/>
            <w:vAlign w:val="center"/>
          </w:tcPr>
          <w:p w14:paraId="6CF45EA1" w14:textId="77777777" w:rsidR="00E702A2" w:rsidRPr="00757AEC" w:rsidRDefault="00E702A2" w:rsidP="00842536">
            <w:pPr>
              <w:jc w:val="center"/>
              <w:rPr>
                <w:b/>
                <w:sz w:val="20"/>
                <w:szCs w:val="20"/>
              </w:rPr>
            </w:pPr>
            <w:r w:rsidRPr="00757AEC">
              <w:rPr>
                <w:b/>
                <w:sz w:val="20"/>
                <w:szCs w:val="20"/>
              </w:rPr>
              <w:t>ACCEPTABLE</w:t>
            </w:r>
          </w:p>
        </w:tc>
        <w:tc>
          <w:tcPr>
            <w:tcW w:w="1224" w:type="dxa"/>
            <w:shd w:val="clear" w:color="auto" w:fill="FFFF00"/>
            <w:vAlign w:val="center"/>
          </w:tcPr>
          <w:p w14:paraId="75DF4065" w14:textId="77777777" w:rsidR="00E702A2" w:rsidRPr="00757AEC" w:rsidRDefault="00E702A2" w:rsidP="00842536">
            <w:pPr>
              <w:jc w:val="center"/>
              <w:rPr>
                <w:b/>
                <w:color w:val="000000" w:themeColor="text1"/>
                <w:sz w:val="20"/>
                <w:szCs w:val="20"/>
              </w:rPr>
            </w:pPr>
            <w:r w:rsidRPr="00757AEC">
              <w:rPr>
                <w:b/>
                <w:color w:val="000000" w:themeColor="text1"/>
                <w:sz w:val="20"/>
                <w:szCs w:val="20"/>
              </w:rPr>
              <w:t>FAIR</w:t>
            </w:r>
          </w:p>
        </w:tc>
        <w:tc>
          <w:tcPr>
            <w:tcW w:w="1270" w:type="dxa"/>
            <w:shd w:val="clear" w:color="auto" w:fill="92D050"/>
            <w:vAlign w:val="center"/>
          </w:tcPr>
          <w:p w14:paraId="10B650EA" w14:textId="77777777" w:rsidR="00E702A2" w:rsidRPr="00757AEC" w:rsidRDefault="00E702A2" w:rsidP="00842536">
            <w:pPr>
              <w:jc w:val="center"/>
              <w:rPr>
                <w:b/>
                <w:color w:val="000000" w:themeColor="text1"/>
                <w:sz w:val="20"/>
                <w:szCs w:val="20"/>
              </w:rPr>
            </w:pPr>
            <w:r w:rsidRPr="007F17AC">
              <w:rPr>
                <w:b/>
                <w:color w:val="000000" w:themeColor="text1"/>
                <w:sz w:val="20"/>
                <w:szCs w:val="20"/>
              </w:rPr>
              <w:t>GOO</w:t>
            </w:r>
            <w:r w:rsidRPr="00757AEC">
              <w:rPr>
                <w:b/>
                <w:color w:val="000000" w:themeColor="text1"/>
                <w:sz w:val="20"/>
                <w:szCs w:val="20"/>
              </w:rPr>
              <w:t>D</w:t>
            </w:r>
          </w:p>
        </w:tc>
        <w:tc>
          <w:tcPr>
            <w:tcW w:w="1487" w:type="dxa"/>
            <w:shd w:val="clear" w:color="auto" w:fill="00B050"/>
            <w:vAlign w:val="center"/>
          </w:tcPr>
          <w:p w14:paraId="3D4ADBFA" w14:textId="77777777" w:rsidR="00E702A2" w:rsidRPr="00757AEC" w:rsidRDefault="00E702A2" w:rsidP="00842536">
            <w:pPr>
              <w:jc w:val="center"/>
              <w:rPr>
                <w:b/>
                <w:color w:val="FFFFFF" w:themeColor="background1"/>
                <w:sz w:val="20"/>
                <w:szCs w:val="20"/>
              </w:rPr>
            </w:pPr>
            <w:r w:rsidRPr="007F17AC">
              <w:rPr>
                <w:b/>
                <w:color w:val="000000" w:themeColor="text1"/>
                <w:sz w:val="20"/>
                <w:szCs w:val="20"/>
              </w:rPr>
              <w:t>EXCELLENT</w:t>
            </w:r>
          </w:p>
        </w:tc>
      </w:tr>
      <w:tr w:rsidR="00E702A2" w14:paraId="6B664341" w14:textId="77777777" w:rsidTr="00842536">
        <w:trPr>
          <w:trHeight w:val="283"/>
        </w:trPr>
        <w:tc>
          <w:tcPr>
            <w:tcW w:w="1173" w:type="dxa"/>
          </w:tcPr>
          <w:p w14:paraId="3C7A4B4D" w14:textId="77777777" w:rsidR="00E702A2" w:rsidRPr="00C90008" w:rsidRDefault="00E702A2" w:rsidP="00842536">
            <w:pPr>
              <w:jc w:val="center"/>
              <w:rPr>
                <w:b/>
                <w:color w:val="000000" w:themeColor="text1"/>
                <w:sz w:val="21"/>
                <w:szCs w:val="21"/>
              </w:rPr>
            </w:pPr>
            <w:r w:rsidRPr="00C90008">
              <w:rPr>
                <w:b/>
                <w:color w:val="000000" w:themeColor="text1"/>
                <w:sz w:val="21"/>
                <w:szCs w:val="21"/>
              </w:rPr>
              <w:t>1</w:t>
            </w:r>
          </w:p>
        </w:tc>
        <w:tc>
          <w:tcPr>
            <w:tcW w:w="1659" w:type="dxa"/>
          </w:tcPr>
          <w:p w14:paraId="3AA79660" w14:textId="77777777" w:rsidR="00E702A2" w:rsidRPr="00757AEC" w:rsidRDefault="00E702A2" w:rsidP="00842536">
            <w:pPr>
              <w:jc w:val="center"/>
              <w:rPr>
                <w:b/>
                <w:color w:val="000000" w:themeColor="text1"/>
                <w:sz w:val="20"/>
                <w:szCs w:val="20"/>
              </w:rPr>
            </w:pPr>
            <w:r w:rsidRPr="00757AEC">
              <w:rPr>
                <w:b/>
                <w:color w:val="000000" w:themeColor="text1"/>
                <w:sz w:val="20"/>
                <w:szCs w:val="20"/>
              </w:rPr>
              <w:t>2</w:t>
            </w:r>
          </w:p>
        </w:tc>
        <w:tc>
          <w:tcPr>
            <w:tcW w:w="1224" w:type="dxa"/>
          </w:tcPr>
          <w:p w14:paraId="4A40ACB4" w14:textId="77777777" w:rsidR="00E702A2" w:rsidRPr="00757AEC" w:rsidRDefault="00E702A2" w:rsidP="00842536">
            <w:pPr>
              <w:jc w:val="center"/>
              <w:rPr>
                <w:b/>
                <w:color w:val="000000" w:themeColor="text1"/>
                <w:sz w:val="20"/>
                <w:szCs w:val="20"/>
              </w:rPr>
            </w:pPr>
            <w:r w:rsidRPr="00757AEC">
              <w:rPr>
                <w:b/>
                <w:color w:val="000000" w:themeColor="text1"/>
                <w:sz w:val="20"/>
                <w:szCs w:val="20"/>
              </w:rPr>
              <w:t>3</w:t>
            </w:r>
          </w:p>
        </w:tc>
        <w:tc>
          <w:tcPr>
            <w:tcW w:w="1270" w:type="dxa"/>
          </w:tcPr>
          <w:p w14:paraId="2E2E4856" w14:textId="77777777" w:rsidR="00E702A2" w:rsidRPr="00757AEC" w:rsidRDefault="00E702A2" w:rsidP="00842536">
            <w:pPr>
              <w:jc w:val="center"/>
              <w:rPr>
                <w:b/>
                <w:color w:val="000000" w:themeColor="text1"/>
                <w:sz w:val="20"/>
                <w:szCs w:val="20"/>
              </w:rPr>
            </w:pPr>
            <w:r w:rsidRPr="00757AEC">
              <w:rPr>
                <w:b/>
                <w:color w:val="000000" w:themeColor="text1"/>
                <w:sz w:val="20"/>
                <w:szCs w:val="20"/>
              </w:rPr>
              <w:t>4</w:t>
            </w:r>
          </w:p>
        </w:tc>
        <w:tc>
          <w:tcPr>
            <w:tcW w:w="1487" w:type="dxa"/>
          </w:tcPr>
          <w:p w14:paraId="4099E801" w14:textId="77777777" w:rsidR="00E702A2" w:rsidRPr="00757AEC" w:rsidRDefault="00E702A2" w:rsidP="00842536">
            <w:pPr>
              <w:jc w:val="center"/>
              <w:rPr>
                <w:b/>
                <w:color w:val="000000" w:themeColor="text1"/>
                <w:sz w:val="20"/>
                <w:szCs w:val="20"/>
              </w:rPr>
            </w:pPr>
            <w:r w:rsidRPr="00757AEC">
              <w:rPr>
                <w:b/>
                <w:color w:val="000000" w:themeColor="text1"/>
                <w:sz w:val="20"/>
                <w:szCs w:val="20"/>
              </w:rPr>
              <w:t>5</w:t>
            </w:r>
          </w:p>
        </w:tc>
      </w:tr>
    </w:tbl>
    <w:p w14:paraId="4D2F0D19" w14:textId="77777777" w:rsidR="00E702A2" w:rsidRDefault="00E702A2" w:rsidP="00315F7C">
      <w:pPr>
        <w:spacing w:after="0"/>
        <w:jc w:val="both"/>
        <w:rPr>
          <w:color w:val="000000" w:themeColor="text1"/>
        </w:rPr>
      </w:pPr>
    </w:p>
    <w:p w14:paraId="211654EC" w14:textId="4DE2BD4C" w:rsidR="00315F7C" w:rsidRDefault="00315F7C" w:rsidP="00315F7C">
      <w:pPr>
        <w:spacing w:after="0"/>
        <w:jc w:val="both"/>
        <w:rPr>
          <w:color w:val="000000" w:themeColor="text1"/>
        </w:rPr>
      </w:pPr>
      <w:r>
        <w:rPr>
          <w:color w:val="000000" w:themeColor="text1"/>
        </w:rPr>
        <w:t xml:space="preserve">A weighted score </w:t>
      </w:r>
      <w:r w:rsidR="00E702A2">
        <w:rPr>
          <w:color w:val="000000" w:themeColor="text1"/>
        </w:rPr>
        <w:t xml:space="preserve">is </w:t>
      </w:r>
      <w:r>
        <w:rPr>
          <w:color w:val="000000" w:themeColor="text1"/>
        </w:rPr>
        <w:t>produced by</w:t>
      </w:r>
      <w:r w:rsidRPr="00847B19">
        <w:rPr>
          <w:color w:val="000000" w:themeColor="text1"/>
        </w:rPr>
        <w:t xml:space="preserve"> </w:t>
      </w:r>
      <w:r>
        <w:rPr>
          <w:color w:val="000000" w:themeColor="text1"/>
        </w:rPr>
        <w:t xml:space="preserve">multiplying each </w:t>
      </w:r>
      <w:r w:rsidR="00E702A2">
        <w:rPr>
          <w:color w:val="000000" w:themeColor="text1"/>
        </w:rPr>
        <w:t xml:space="preserve">service standard </w:t>
      </w:r>
      <w:r>
        <w:rPr>
          <w:color w:val="000000" w:themeColor="text1"/>
        </w:rPr>
        <w:t xml:space="preserve">score </w:t>
      </w:r>
      <w:r w:rsidR="00E702A2">
        <w:rPr>
          <w:color w:val="000000" w:themeColor="text1"/>
        </w:rPr>
        <w:t xml:space="preserve">from the table above </w:t>
      </w:r>
      <w:r>
        <w:rPr>
          <w:color w:val="000000" w:themeColor="text1"/>
        </w:rPr>
        <w:t>by the asset valuation</w:t>
      </w:r>
      <w:r w:rsidR="00E702A2">
        <w:rPr>
          <w:color w:val="000000" w:themeColor="text1"/>
        </w:rPr>
        <w:t xml:space="preserve"> </w:t>
      </w:r>
      <w:r w:rsidR="00EE2736">
        <w:rPr>
          <w:color w:val="000000" w:themeColor="text1"/>
        </w:rPr>
        <w:t>(</w:t>
      </w:r>
      <w:r w:rsidR="00E702A2">
        <w:rPr>
          <w:color w:val="000000" w:themeColor="text1"/>
        </w:rPr>
        <w:t xml:space="preserve">as determined from the </w:t>
      </w:r>
      <w:r w:rsidR="00BD548E">
        <w:rPr>
          <w:color w:val="000000" w:themeColor="text1"/>
        </w:rPr>
        <w:t>latest</w:t>
      </w:r>
      <w:r w:rsidR="00234234">
        <w:rPr>
          <w:color w:val="000000" w:themeColor="text1"/>
        </w:rPr>
        <w:t xml:space="preserve"> </w:t>
      </w:r>
      <w:r w:rsidR="00E702A2">
        <w:rPr>
          <w:color w:val="000000" w:themeColor="text1"/>
        </w:rPr>
        <w:t xml:space="preserve">Whole of Government Accounts </w:t>
      </w:r>
      <w:r w:rsidR="00EE2736">
        <w:rPr>
          <w:color w:val="000000" w:themeColor="text1"/>
        </w:rPr>
        <w:t xml:space="preserve">asset valuation from 2018-19), as </w:t>
      </w:r>
      <w:r w:rsidR="00EE4658">
        <w:rPr>
          <w:color w:val="000000" w:themeColor="text1"/>
        </w:rPr>
        <w:t>show below:</w:t>
      </w:r>
    </w:p>
    <w:p w14:paraId="70C4973B" w14:textId="77777777" w:rsidR="00315F7C" w:rsidRPr="00251AF0" w:rsidRDefault="00315F7C" w:rsidP="00315F7C">
      <w:pPr>
        <w:spacing w:after="0" w:line="240" w:lineRule="auto"/>
        <w:jc w:val="both"/>
        <w:rPr>
          <w:color w:val="000000" w:themeColor="text1"/>
          <w:sz w:val="20"/>
          <w:szCs w:val="20"/>
        </w:rPr>
      </w:pPr>
    </w:p>
    <w:tbl>
      <w:tblPr>
        <w:tblW w:w="9042" w:type="dxa"/>
        <w:tblInd w:w="-10" w:type="dxa"/>
        <w:tblLook w:val="04A0" w:firstRow="1" w:lastRow="0" w:firstColumn="1" w:lastColumn="0" w:noHBand="0" w:noVBand="1"/>
      </w:tblPr>
      <w:tblGrid>
        <w:gridCol w:w="2466"/>
        <w:gridCol w:w="1984"/>
        <w:gridCol w:w="1928"/>
        <w:gridCol w:w="907"/>
        <w:gridCol w:w="1757"/>
      </w:tblGrid>
      <w:tr w:rsidR="00E702A2" w:rsidRPr="00342F00" w14:paraId="772375ED" w14:textId="77777777" w:rsidTr="00E702A2">
        <w:trPr>
          <w:trHeight w:val="612"/>
        </w:trPr>
        <w:tc>
          <w:tcPr>
            <w:tcW w:w="24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0EAA6CC" w14:textId="77777777" w:rsidR="00315F7C" w:rsidRPr="007F17AC" w:rsidRDefault="00315F7C" w:rsidP="00842536">
            <w:pPr>
              <w:spacing w:after="0" w:line="240" w:lineRule="auto"/>
              <w:rPr>
                <w:rFonts w:eastAsia="Times New Roman" w:cs="Arial"/>
                <w:b/>
                <w:color w:val="000000"/>
                <w:sz w:val="20"/>
                <w:szCs w:val="20"/>
                <w:lang w:eastAsia="en-GB"/>
              </w:rPr>
            </w:pPr>
            <w:r w:rsidRPr="007F17AC">
              <w:rPr>
                <w:rFonts w:eastAsia="Times New Roman" w:cs="Arial"/>
                <w:b/>
                <w:color w:val="000000" w:themeColor="text1"/>
                <w:sz w:val="20"/>
                <w:szCs w:val="20"/>
                <w:lang w:eastAsia="en-GB"/>
              </w:rPr>
              <w:t>Asset Group</w:t>
            </w:r>
          </w:p>
        </w:tc>
        <w:tc>
          <w:tcPr>
            <w:tcW w:w="198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50DBD66" w14:textId="74004EAF" w:rsidR="00315F7C" w:rsidRPr="007F17AC" w:rsidRDefault="00EE4658" w:rsidP="00842536">
            <w:pPr>
              <w:spacing w:after="0" w:line="240" w:lineRule="auto"/>
              <w:jc w:val="center"/>
              <w:rPr>
                <w:rFonts w:eastAsia="Times New Roman" w:cs="Arial"/>
                <w:b/>
                <w:color w:val="000000"/>
                <w:sz w:val="20"/>
                <w:szCs w:val="20"/>
                <w:lang w:eastAsia="en-GB"/>
              </w:rPr>
            </w:pPr>
            <w:r>
              <w:rPr>
                <w:rFonts w:eastAsia="Times New Roman" w:cs="Arial"/>
                <w:b/>
                <w:color w:val="000000" w:themeColor="text1"/>
                <w:sz w:val="20"/>
                <w:szCs w:val="20"/>
                <w:lang w:eastAsia="en-GB"/>
              </w:rPr>
              <w:t xml:space="preserve">2018-19 </w:t>
            </w:r>
            <w:r w:rsidR="00315F7C" w:rsidRPr="007F17AC">
              <w:rPr>
                <w:rFonts w:eastAsia="Times New Roman" w:cs="Arial"/>
                <w:b/>
                <w:color w:val="000000" w:themeColor="text1"/>
                <w:sz w:val="20"/>
                <w:szCs w:val="20"/>
                <w:lang w:eastAsia="en-GB"/>
              </w:rPr>
              <w:t xml:space="preserve">Valuation £ Million </w:t>
            </w:r>
          </w:p>
        </w:tc>
        <w:tc>
          <w:tcPr>
            <w:tcW w:w="1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27AAFF" w14:textId="77777777" w:rsidR="00315F7C" w:rsidRPr="007F17AC" w:rsidRDefault="00315F7C" w:rsidP="00842536">
            <w:pPr>
              <w:spacing w:after="0" w:line="240" w:lineRule="auto"/>
              <w:jc w:val="center"/>
              <w:rPr>
                <w:rFonts w:eastAsia="Times New Roman" w:cs="Arial"/>
                <w:b/>
                <w:color w:val="000000"/>
                <w:sz w:val="20"/>
                <w:szCs w:val="20"/>
                <w:lang w:eastAsia="en-GB"/>
              </w:rPr>
            </w:pPr>
            <w:r w:rsidRPr="007F17AC">
              <w:rPr>
                <w:rFonts w:eastAsia="Times New Roman" w:cs="Arial"/>
                <w:b/>
                <w:color w:val="000000" w:themeColor="text1"/>
                <w:sz w:val="20"/>
                <w:szCs w:val="20"/>
                <w:lang w:eastAsia="en-GB"/>
              </w:rPr>
              <w:t>Service Standard</w:t>
            </w:r>
          </w:p>
        </w:tc>
        <w:tc>
          <w:tcPr>
            <w:tcW w:w="9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BD7FAA3" w14:textId="77777777" w:rsidR="00315F7C" w:rsidRPr="007F17AC" w:rsidRDefault="00315F7C" w:rsidP="00842536">
            <w:pPr>
              <w:spacing w:after="0" w:line="240" w:lineRule="auto"/>
              <w:jc w:val="center"/>
              <w:rPr>
                <w:rFonts w:eastAsia="Times New Roman" w:cs="Arial"/>
                <w:b/>
                <w:color w:val="000000"/>
                <w:sz w:val="20"/>
                <w:szCs w:val="20"/>
                <w:lang w:eastAsia="en-GB"/>
              </w:rPr>
            </w:pPr>
            <w:r w:rsidRPr="007F17AC">
              <w:rPr>
                <w:rFonts w:eastAsia="Times New Roman" w:cs="Arial"/>
                <w:b/>
                <w:color w:val="000000" w:themeColor="text1"/>
                <w:sz w:val="20"/>
                <w:szCs w:val="20"/>
                <w:lang w:eastAsia="en-GB"/>
              </w:rPr>
              <w:t>Score</w:t>
            </w:r>
          </w:p>
        </w:tc>
        <w:tc>
          <w:tcPr>
            <w:tcW w:w="17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7B71EBF" w14:textId="77777777" w:rsidR="00315F7C" w:rsidRPr="007F17AC" w:rsidRDefault="00315F7C" w:rsidP="00842536">
            <w:pPr>
              <w:spacing w:after="0" w:line="240" w:lineRule="auto"/>
              <w:jc w:val="center"/>
              <w:rPr>
                <w:rFonts w:eastAsia="Times New Roman" w:cs="Arial"/>
                <w:b/>
                <w:color w:val="000000"/>
                <w:sz w:val="20"/>
                <w:szCs w:val="20"/>
                <w:lang w:eastAsia="en-GB"/>
              </w:rPr>
            </w:pPr>
            <w:r w:rsidRPr="007F17AC">
              <w:rPr>
                <w:rFonts w:eastAsia="Times New Roman" w:cs="Arial"/>
                <w:b/>
                <w:color w:val="000000" w:themeColor="text1"/>
                <w:sz w:val="20"/>
                <w:szCs w:val="20"/>
                <w:lang w:eastAsia="en-GB"/>
              </w:rPr>
              <w:t>Weighted Score</w:t>
            </w:r>
          </w:p>
        </w:tc>
      </w:tr>
      <w:tr w:rsidR="00E702A2" w:rsidRPr="00342F00" w14:paraId="70F8BB14" w14:textId="77777777" w:rsidTr="00E702A2">
        <w:trPr>
          <w:trHeight w:val="324"/>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FE8F"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A Roads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185785C"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855</w:t>
            </w:r>
          </w:p>
        </w:tc>
        <w:tc>
          <w:tcPr>
            <w:tcW w:w="192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67350A"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757AEC">
              <w:rPr>
                <w:rFonts w:eastAsia="Times New Roman" w:cs="Arial"/>
                <w:b/>
                <w:color w:val="000000"/>
                <w:sz w:val="20"/>
                <w:szCs w:val="20"/>
                <w:lang w:eastAsia="en-GB"/>
              </w:rPr>
              <w:t>ACCEPTABLE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B5BF"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2</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CB368E"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1,710</w:t>
            </w:r>
          </w:p>
        </w:tc>
      </w:tr>
      <w:tr w:rsidR="00E702A2" w:rsidRPr="00342F00" w14:paraId="3C93C0EF" w14:textId="77777777" w:rsidTr="00E702A2">
        <w:trPr>
          <w:trHeight w:val="258"/>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D1C6"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B Roads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554CD"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504</w:t>
            </w:r>
          </w:p>
        </w:tc>
        <w:tc>
          <w:tcPr>
            <w:tcW w:w="1928"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422F4F9"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757AEC">
              <w:rPr>
                <w:rFonts w:eastAsia="Times New Roman" w:cs="Arial"/>
                <w:b/>
                <w:color w:val="000000"/>
                <w:sz w:val="20"/>
                <w:szCs w:val="20"/>
                <w:lang w:eastAsia="en-GB"/>
              </w:rPr>
              <w:t>ACCEPTABLE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A649" w14:textId="77777777" w:rsidR="00315F7C" w:rsidRPr="00757AEC" w:rsidRDefault="00315F7C" w:rsidP="00842536">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2</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241058"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1,008</w:t>
            </w:r>
          </w:p>
        </w:tc>
      </w:tr>
      <w:tr w:rsidR="00E702A2" w:rsidRPr="00342F00" w14:paraId="27C55035"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56D0"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C Roads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D826B5"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1,445</w:t>
            </w:r>
          </w:p>
        </w:tc>
        <w:tc>
          <w:tcPr>
            <w:tcW w:w="192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51A99E" w14:textId="77777777" w:rsidR="00315F7C" w:rsidRPr="00757AEC" w:rsidRDefault="00315F7C" w:rsidP="00842536">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FAIR</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179F"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C8071A"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4,335</w:t>
            </w:r>
          </w:p>
        </w:tc>
      </w:tr>
      <w:tr w:rsidR="00E702A2" w:rsidRPr="00342F00" w14:paraId="19C6E594"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B9F9" w14:textId="77777777" w:rsidR="00315F7C" w:rsidRPr="00C13B0A" w:rsidRDefault="00315F7C" w:rsidP="00842536">
            <w:pPr>
              <w:spacing w:after="0" w:line="240" w:lineRule="auto"/>
              <w:rPr>
                <w:rFonts w:eastAsia="Times New Roman" w:cs="Arial"/>
                <w:color w:val="000000"/>
                <w:sz w:val="22"/>
                <w:lang w:eastAsia="en-GB"/>
              </w:rPr>
            </w:pPr>
            <w:r w:rsidRPr="00C13B0A">
              <w:rPr>
                <w:rFonts w:eastAsia="Times New Roman" w:cs="Arial"/>
                <w:color w:val="000000" w:themeColor="text1"/>
                <w:sz w:val="22"/>
                <w:lang w:eastAsia="en-GB"/>
              </w:rPr>
              <w:t>Residential Unclassified Rods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C5728E"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3,703</w:t>
            </w:r>
          </w:p>
        </w:tc>
        <w:tc>
          <w:tcPr>
            <w:tcW w:w="192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9C8770B" w14:textId="77777777" w:rsidR="00315F7C" w:rsidRPr="00CE1231" w:rsidRDefault="00315F7C" w:rsidP="00842536">
            <w:pPr>
              <w:spacing w:after="0" w:line="240" w:lineRule="auto"/>
              <w:jc w:val="center"/>
              <w:rPr>
                <w:rFonts w:eastAsia="Times New Roman" w:cs="Arial"/>
                <w:b/>
                <w:color w:val="FFFFFF" w:themeColor="background1"/>
                <w:sz w:val="20"/>
                <w:szCs w:val="20"/>
                <w:lang w:eastAsia="en-GB"/>
              </w:rPr>
            </w:pPr>
            <w:r>
              <w:rPr>
                <w:rFonts w:eastAsia="Times New Roman" w:cs="Arial"/>
                <w:b/>
                <w:color w:val="FFFFFF" w:themeColor="background1"/>
                <w:sz w:val="20"/>
                <w:szCs w:val="20"/>
                <w:lang w:eastAsia="en-GB"/>
              </w:rPr>
              <w:t>POOR</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C972"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1</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BBFC31"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3,703</w:t>
            </w:r>
          </w:p>
        </w:tc>
      </w:tr>
      <w:tr w:rsidR="00E702A2" w:rsidRPr="00342F00" w14:paraId="29573FBC"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2951"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Rural Unclassified Roads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D7FE5E"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1,161</w:t>
            </w:r>
          </w:p>
        </w:tc>
        <w:tc>
          <w:tcPr>
            <w:tcW w:w="192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7460C06" w14:textId="77777777" w:rsidR="00315F7C" w:rsidRPr="00CE1231" w:rsidRDefault="00315F7C" w:rsidP="00842536">
            <w:pPr>
              <w:spacing w:after="0" w:line="240" w:lineRule="auto"/>
              <w:jc w:val="center"/>
              <w:rPr>
                <w:rFonts w:eastAsia="Times New Roman" w:cs="Arial"/>
                <w:b/>
                <w:color w:val="FFFFFF" w:themeColor="background1"/>
                <w:sz w:val="20"/>
                <w:szCs w:val="20"/>
                <w:lang w:eastAsia="en-GB"/>
              </w:rPr>
            </w:pPr>
            <w:r>
              <w:rPr>
                <w:rFonts w:eastAsia="Times New Roman" w:cs="Arial"/>
                <w:b/>
                <w:color w:val="FFFFFF" w:themeColor="background1"/>
                <w:sz w:val="20"/>
                <w:szCs w:val="20"/>
                <w:lang w:eastAsia="en-GB"/>
              </w:rPr>
              <w:t>POOR</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4501"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1</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8C16E5"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1,161</w:t>
            </w:r>
          </w:p>
        </w:tc>
      </w:tr>
      <w:tr w:rsidR="00E702A2" w:rsidRPr="00342F00" w14:paraId="53AA62B8"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E265"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Footway &amp; Cycle</w:t>
            </w:r>
            <w:r>
              <w:rPr>
                <w:rFonts w:eastAsia="Times New Roman" w:cs="Arial"/>
                <w:color w:val="000000" w:themeColor="text1"/>
                <w:sz w:val="20"/>
                <w:szCs w:val="20"/>
                <w:lang w:eastAsia="en-GB"/>
              </w:rPr>
              <w:t xml:space="preserve"> </w:t>
            </w:r>
            <w:r w:rsidRPr="00757AEC">
              <w:rPr>
                <w:rFonts w:eastAsia="Times New Roman" w:cs="Arial"/>
                <w:color w:val="000000" w:themeColor="text1"/>
                <w:sz w:val="20"/>
                <w:szCs w:val="20"/>
                <w:lang w:eastAsia="en-GB"/>
              </w:rPr>
              <w:t>ways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DE0106" w14:textId="77777777" w:rsidR="00315F7C" w:rsidRDefault="00315F7C" w:rsidP="00842536">
            <w:pPr>
              <w:spacing w:after="0"/>
              <w:jc w:val="center"/>
              <w:rPr>
                <w:rFonts w:ascii="Calibri" w:hAnsi="Calibri" w:cs="Calibri"/>
                <w:color w:val="000000"/>
                <w:sz w:val="20"/>
                <w:szCs w:val="20"/>
              </w:rPr>
            </w:pPr>
            <w:r>
              <w:rPr>
                <w:rFonts w:ascii="Calibri" w:hAnsi="Calibri" w:cs="Calibri"/>
                <w:color w:val="000000"/>
                <w:sz w:val="20"/>
                <w:szCs w:val="20"/>
              </w:rPr>
              <w:t>727</w:t>
            </w:r>
          </w:p>
        </w:tc>
        <w:tc>
          <w:tcPr>
            <w:tcW w:w="192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5DA3632"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7F17AC">
              <w:rPr>
                <w:b/>
                <w:color w:val="000000" w:themeColor="text1"/>
                <w:sz w:val="20"/>
                <w:szCs w:val="20"/>
                <w:shd w:val="clear" w:color="auto" w:fill="00B050"/>
              </w:rPr>
              <w:t>EXCELLEN</w:t>
            </w:r>
            <w:r w:rsidRPr="007F17AC">
              <w:rPr>
                <w:b/>
                <w:color w:val="000000" w:themeColor="text1"/>
                <w:sz w:val="20"/>
                <w:szCs w:val="20"/>
              </w:rPr>
              <w:t>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EF1C"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5</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AAE1EF"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3,635</w:t>
            </w:r>
          </w:p>
        </w:tc>
      </w:tr>
      <w:tr w:rsidR="00E702A2" w:rsidRPr="00342F00" w14:paraId="63A9BDA7"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FEF7"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Bridges &amp; Similar Structures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D72692" w14:textId="77777777" w:rsidR="00315F7C" w:rsidRDefault="00315F7C" w:rsidP="00842536">
            <w:pPr>
              <w:spacing w:after="0"/>
              <w:jc w:val="center"/>
              <w:rPr>
                <w:rFonts w:ascii="Calibri" w:hAnsi="Calibri" w:cs="Calibri"/>
                <w:color w:val="000000"/>
                <w:sz w:val="20"/>
                <w:szCs w:val="20"/>
              </w:rPr>
            </w:pPr>
            <w:r>
              <w:rPr>
                <w:rFonts w:ascii="Calibri" w:hAnsi="Calibri" w:cs="Calibri"/>
                <w:color w:val="000000"/>
                <w:sz w:val="20"/>
                <w:szCs w:val="20"/>
              </w:rPr>
              <w:t>1,406</w:t>
            </w:r>
          </w:p>
        </w:tc>
        <w:tc>
          <w:tcPr>
            <w:tcW w:w="192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8EF648A"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CE1231">
              <w:rPr>
                <w:rFonts w:eastAsia="Times New Roman" w:cs="Arial"/>
                <w:b/>
                <w:color w:val="000000" w:themeColor="text1"/>
                <w:sz w:val="20"/>
                <w:szCs w:val="20"/>
                <w:lang w:eastAsia="en-GB"/>
              </w:rPr>
              <w:t>GOOD</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D023"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4</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6D858F"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5,624</w:t>
            </w:r>
          </w:p>
        </w:tc>
      </w:tr>
      <w:tr w:rsidR="00E702A2" w:rsidRPr="00342F00" w14:paraId="296D98AD"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A66F"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Street Lighting</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469FFB" w14:textId="77777777" w:rsidR="00315F7C" w:rsidRDefault="00315F7C" w:rsidP="00842536">
            <w:pPr>
              <w:spacing w:after="0"/>
              <w:jc w:val="center"/>
              <w:rPr>
                <w:rFonts w:ascii="Calibri" w:hAnsi="Calibri" w:cs="Calibri"/>
                <w:color w:val="000000"/>
                <w:sz w:val="20"/>
                <w:szCs w:val="20"/>
              </w:rPr>
            </w:pPr>
            <w:r>
              <w:rPr>
                <w:rFonts w:ascii="Calibri" w:hAnsi="Calibri" w:cs="Calibri"/>
                <w:color w:val="000000"/>
                <w:sz w:val="20"/>
                <w:szCs w:val="20"/>
              </w:rPr>
              <w:t>155</w:t>
            </w:r>
          </w:p>
        </w:tc>
        <w:tc>
          <w:tcPr>
            <w:tcW w:w="192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37427BE"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757AEC">
              <w:rPr>
                <w:rFonts w:eastAsia="Times New Roman" w:cs="Arial"/>
                <w:b/>
                <w:color w:val="000000" w:themeColor="text1"/>
                <w:sz w:val="20"/>
                <w:szCs w:val="20"/>
                <w:lang w:eastAsia="en-GB"/>
              </w:rPr>
              <w:t>GOOD</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8069" w14:textId="77777777" w:rsidR="00315F7C" w:rsidRPr="00757AEC" w:rsidRDefault="00315F7C" w:rsidP="00842536">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4</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BC148F"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620</w:t>
            </w:r>
          </w:p>
        </w:tc>
      </w:tr>
      <w:tr w:rsidR="00E702A2" w:rsidRPr="00342F00" w14:paraId="51FBCCDA"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FFE2" w14:textId="77777777" w:rsidR="00315F7C" w:rsidRPr="00757AEC" w:rsidRDefault="00315F7C" w:rsidP="00842536">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Traffic Signals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13758B" w14:textId="77777777" w:rsidR="00315F7C" w:rsidRDefault="00315F7C" w:rsidP="00842536">
            <w:pPr>
              <w:spacing w:after="0"/>
              <w:jc w:val="center"/>
              <w:rPr>
                <w:rFonts w:ascii="Calibri" w:hAnsi="Calibri" w:cs="Calibri"/>
                <w:color w:val="000000"/>
                <w:sz w:val="20"/>
                <w:szCs w:val="20"/>
              </w:rPr>
            </w:pPr>
            <w:r>
              <w:rPr>
                <w:rFonts w:ascii="Calibri" w:hAnsi="Calibri" w:cs="Calibri"/>
                <w:color w:val="000000"/>
                <w:sz w:val="20"/>
                <w:szCs w:val="20"/>
              </w:rPr>
              <w:t>19</w:t>
            </w:r>
          </w:p>
        </w:tc>
        <w:tc>
          <w:tcPr>
            <w:tcW w:w="192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F911377" w14:textId="77777777" w:rsidR="00315F7C" w:rsidRPr="00757AEC" w:rsidRDefault="00315F7C" w:rsidP="00842536">
            <w:pPr>
              <w:spacing w:after="0" w:line="240" w:lineRule="auto"/>
              <w:jc w:val="center"/>
              <w:rPr>
                <w:rFonts w:eastAsia="Times New Roman" w:cs="Arial"/>
                <w:b/>
                <w:color w:val="000000"/>
                <w:sz w:val="20"/>
                <w:szCs w:val="20"/>
                <w:lang w:eastAsia="en-GB"/>
              </w:rPr>
            </w:pPr>
            <w:r w:rsidRPr="007F17AC">
              <w:rPr>
                <w:rFonts w:eastAsia="Times New Roman" w:cs="Arial"/>
                <w:b/>
                <w:color w:val="FFFFFF" w:themeColor="background1"/>
                <w:sz w:val="20"/>
                <w:szCs w:val="20"/>
                <w:lang w:eastAsia="en-GB"/>
              </w:rPr>
              <w:t>POOR</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7806" w14:textId="77777777" w:rsidR="00315F7C" w:rsidRPr="00757AEC" w:rsidRDefault="00315F7C" w:rsidP="00842536">
            <w:pPr>
              <w:spacing w:after="0" w:line="240" w:lineRule="auto"/>
              <w:jc w:val="center"/>
              <w:rPr>
                <w:rFonts w:eastAsia="Times New Roman" w:cs="Arial"/>
                <w:color w:val="000000"/>
                <w:sz w:val="20"/>
                <w:szCs w:val="20"/>
                <w:lang w:eastAsia="en-GB"/>
              </w:rPr>
            </w:pPr>
            <w:r>
              <w:rPr>
                <w:rFonts w:eastAsia="Times New Roman" w:cs="Arial"/>
                <w:color w:val="000000" w:themeColor="text1"/>
                <w:sz w:val="20"/>
                <w:szCs w:val="20"/>
                <w:lang w:eastAsia="en-GB"/>
              </w:rPr>
              <w:t>1</w:t>
            </w:r>
          </w:p>
        </w:tc>
        <w:tc>
          <w:tcPr>
            <w:tcW w:w="175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9D5611" w14:textId="77777777" w:rsidR="00315F7C" w:rsidRDefault="00315F7C" w:rsidP="00842536">
            <w:pPr>
              <w:spacing w:after="0"/>
              <w:jc w:val="center"/>
              <w:rPr>
                <w:rFonts w:ascii="Calibri" w:hAnsi="Calibri" w:cs="Calibri"/>
                <w:color w:val="000000"/>
                <w:sz w:val="22"/>
              </w:rPr>
            </w:pPr>
            <w:r>
              <w:rPr>
                <w:rFonts w:ascii="Calibri" w:hAnsi="Calibri" w:cs="Calibri"/>
                <w:color w:val="000000"/>
                <w:sz w:val="22"/>
              </w:rPr>
              <w:t>19</w:t>
            </w:r>
          </w:p>
        </w:tc>
      </w:tr>
      <w:tr w:rsidR="00E702A2" w:rsidRPr="00342F00" w14:paraId="0FEA60D2" w14:textId="77777777" w:rsidTr="00E702A2">
        <w:trPr>
          <w:trHeight w:val="312"/>
        </w:trPr>
        <w:tc>
          <w:tcPr>
            <w:tcW w:w="24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3EE98A4" w14:textId="77777777" w:rsidR="00315F7C" w:rsidRPr="0022511E" w:rsidRDefault="00315F7C" w:rsidP="00842536">
            <w:pPr>
              <w:spacing w:after="0" w:line="240" w:lineRule="auto"/>
              <w:rPr>
                <w:rFonts w:eastAsia="Times New Roman" w:cs="Arial"/>
                <w:b/>
                <w:color w:val="000000"/>
                <w:sz w:val="20"/>
                <w:szCs w:val="20"/>
                <w:lang w:eastAsia="en-GB"/>
              </w:rPr>
            </w:pPr>
            <w:r w:rsidRPr="0022511E">
              <w:rPr>
                <w:rFonts w:eastAsia="Times New Roman" w:cs="Arial"/>
                <w:b/>
                <w:color w:val="000000"/>
                <w:sz w:val="20"/>
                <w:szCs w:val="20"/>
                <w:lang w:eastAsia="en-GB"/>
              </w:rPr>
              <w:t>Total</w:t>
            </w:r>
          </w:p>
        </w:tc>
        <w:tc>
          <w:tcPr>
            <w:tcW w:w="198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362B66D" w14:textId="77777777" w:rsidR="00315F7C" w:rsidRPr="0022511E" w:rsidRDefault="00315F7C" w:rsidP="00842536">
            <w:pPr>
              <w:spacing w:after="0"/>
              <w:jc w:val="center"/>
              <w:rPr>
                <w:rFonts w:cs="Arial"/>
                <w:b/>
                <w:color w:val="000000"/>
                <w:sz w:val="20"/>
                <w:szCs w:val="20"/>
              </w:rPr>
            </w:pPr>
            <w:r w:rsidRPr="0022511E">
              <w:rPr>
                <w:rFonts w:cs="Arial"/>
                <w:b/>
                <w:color w:val="000000"/>
                <w:sz w:val="20"/>
                <w:szCs w:val="20"/>
              </w:rPr>
              <w:t>9,975</w:t>
            </w:r>
          </w:p>
        </w:tc>
        <w:tc>
          <w:tcPr>
            <w:tcW w:w="19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FD4E2F" w14:textId="77777777" w:rsidR="00315F7C" w:rsidRPr="0022511E" w:rsidRDefault="00315F7C" w:rsidP="00842536">
            <w:pPr>
              <w:spacing w:after="0" w:line="240" w:lineRule="auto"/>
              <w:jc w:val="center"/>
              <w:rPr>
                <w:rFonts w:eastAsia="Times New Roman" w:cs="Arial"/>
                <w:b/>
                <w:color w:val="000000"/>
                <w:sz w:val="20"/>
                <w:szCs w:val="20"/>
                <w:lang w:eastAsia="en-GB"/>
              </w:rPr>
            </w:pPr>
            <w:r w:rsidRPr="0022511E">
              <w:rPr>
                <w:rFonts w:eastAsia="Times New Roman" w:cs="Arial"/>
                <w:b/>
                <w:color w:val="000000"/>
                <w:sz w:val="20"/>
                <w:szCs w:val="20"/>
                <w:lang w:eastAsia="en-GB"/>
              </w:rPr>
              <w:t> </w:t>
            </w:r>
          </w:p>
        </w:tc>
        <w:tc>
          <w:tcPr>
            <w:tcW w:w="9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CAD5211" w14:textId="77777777" w:rsidR="00315F7C" w:rsidRPr="0022511E" w:rsidRDefault="00315F7C" w:rsidP="00842536">
            <w:pPr>
              <w:spacing w:after="0" w:line="240" w:lineRule="auto"/>
              <w:jc w:val="center"/>
              <w:rPr>
                <w:rFonts w:eastAsia="Times New Roman" w:cs="Arial"/>
                <w:b/>
                <w:color w:val="000000"/>
                <w:sz w:val="20"/>
                <w:szCs w:val="20"/>
                <w:lang w:eastAsia="en-GB"/>
              </w:rPr>
            </w:pPr>
            <w:r w:rsidRPr="0022511E">
              <w:rPr>
                <w:rFonts w:eastAsia="Times New Roman" w:cs="Arial"/>
                <w:b/>
                <w:color w:val="000000"/>
                <w:sz w:val="20"/>
                <w:szCs w:val="20"/>
                <w:lang w:eastAsia="en-GB"/>
              </w:rPr>
              <w:t> </w:t>
            </w:r>
          </w:p>
        </w:tc>
        <w:tc>
          <w:tcPr>
            <w:tcW w:w="17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30322CB8" w14:textId="77777777" w:rsidR="00315F7C" w:rsidRPr="0022511E" w:rsidRDefault="00315F7C" w:rsidP="00842536">
            <w:pPr>
              <w:spacing w:after="0"/>
              <w:jc w:val="center"/>
              <w:rPr>
                <w:rFonts w:ascii="Calibri" w:hAnsi="Calibri" w:cs="Calibri"/>
                <w:b/>
                <w:color w:val="000000"/>
                <w:sz w:val="22"/>
              </w:rPr>
            </w:pPr>
            <w:r w:rsidRPr="0022511E">
              <w:rPr>
                <w:rFonts w:ascii="Calibri" w:hAnsi="Calibri" w:cs="Calibri"/>
                <w:b/>
                <w:color w:val="000000"/>
                <w:sz w:val="22"/>
              </w:rPr>
              <w:t>21,815</w:t>
            </w:r>
          </w:p>
        </w:tc>
      </w:tr>
      <w:tr w:rsidR="00E702A2" w:rsidRPr="00342F00" w14:paraId="0C39D8D4" w14:textId="77777777" w:rsidTr="00E702A2">
        <w:trPr>
          <w:trHeight w:val="324"/>
        </w:trPr>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100D4" w14:textId="77777777" w:rsidR="00315F7C" w:rsidRPr="00757AEC" w:rsidRDefault="00315F7C" w:rsidP="00842536">
            <w:pPr>
              <w:spacing w:after="0" w:line="240" w:lineRule="auto"/>
              <w:jc w:val="right"/>
              <w:rPr>
                <w:rFonts w:eastAsia="Times New Roman" w:cs="Arial"/>
                <w:b/>
                <w:color w:val="000000"/>
                <w:sz w:val="20"/>
                <w:szCs w:val="20"/>
                <w:lang w:eastAsia="en-GB"/>
              </w:rPr>
            </w:pPr>
            <w:r w:rsidRPr="00757AEC">
              <w:rPr>
                <w:rFonts w:eastAsia="Times New Roman" w:cs="Arial"/>
                <w:b/>
                <w:color w:val="000000" w:themeColor="text1"/>
                <w:sz w:val="20"/>
                <w:szCs w:val="20"/>
                <w:lang w:eastAsia="en-GB"/>
              </w:rPr>
              <w:t xml:space="preserve">Weighted Average Score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82C2" w14:textId="77777777" w:rsidR="00315F7C" w:rsidRPr="00757AEC" w:rsidRDefault="00315F7C" w:rsidP="00842536">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w:t>
            </w:r>
          </w:p>
        </w:tc>
        <w:tc>
          <w:tcPr>
            <w:tcW w:w="17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7A19BA" w14:textId="77777777" w:rsidR="00315F7C" w:rsidRPr="00757AEC" w:rsidRDefault="00315F7C" w:rsidP="00842536">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2.17</w:t>
            </w:r>
          </w:p>
        </w:tc>
      </w:tr>
    </w:tbl>
    <w:p w14:paraId="223FF1D8" w14:textId="77777777" w:rsidR="00315F7C" w:rsidRDefault="00315F7C" w:rsidP="00315F7C">
      <w:pPr>
        <w:spacing w:after="0" w:line="240" w:lineRule="auto"/>
        <w:jc w:val="both"/>
        <w:rPr>
          <w:color w:val="000000" w:themeColor="text1"/>
        </w:rPr>
      </w:pPr>
    </w:p>
    <w:p w14:paraId="0A2DA11F" w14:textId="1164A5DF" w:rsidR="00315F7C" w:rsidRDefault="00315F7C" w:rsidP="00315F7C">
      <w:pPr>
        <w:spacing w:after="0"/>
        <w:jc w:val="both"/>
        <w:rPr>
          <w:color w:val="000000" w:themeColor="text1"/>
        </w:rPr>
      </w:pPr>
      <w:r>
        <w:rPr>
          <w:color w:val="000000" w:themeColor="text1"/>
        </w:rPr>
        <w:t xml:space="preserve">Overall grade boundaries have been determined as </w:t>
      </w:r>
      <w:r w:rsidR="00234234">
        <w:rPr>
          <w:color w:val="000000" w:themeColor="text1"/>
        </w:rPr>
        <w:t>follows: -</w:t>
      </w:r>
    </w:p>
    <w:p w14:paraId="138AD7D7" w14:textId="77777777" w:rsidR="00315F7C" w:rsidRDefault="00315F7C" w:rsidP="00315F7C">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224"/>
        <w:gridCol w:w="1671"/>
        <w:gridCol w:w="1307"/>
        <w:gridCol w:w="1337"/>
        <w:gridCol w:w="1500"/>
      </w:tblGrid>
      <w:tr w:rsidR="00315F7C" w:rsidRPr="00757AEC" w14:paraId="66597C34" w14:textId="77777777" w:rsidTr="00842536">
        <w:trPr>
          <w:trHeight w:val="283"/>
        </w:trPr>
        <w:tc>
          <w:tcPr>
            <w:tcW w:w="7039" w:type="dxa"/>
            <w:gridSpan w:val="5"/>
            <w:shd w:val="clear" w:color="auto" w:fill="FBD4B4" w:themeFill="accent6" w:themeFillTint="66"/>
          </w:tcPr>
          <w:p w14:paraId="508701B6" w14:textId="77777777" w:rsidR="00315F7C" w:rsidRPr="00757AEC" w:rsidRDefault="00315F7C" w:rsidP="00842536">
            <w:pPr>
              <w:jc w:val="center"/>
              <w:rPr>
                <w:b/>
                <w:color w:val="000000" w:themeColor="text1"/>
                <w:sz w:val="20"/>
                <w:szCs w:val="20"/>
              </w:rPr>
            </w:pPr>
            <w:r w:rsidRPr="00757AEC">
              <w:rPr>
                <w:b/>
                <w:color w:val="000000" w:themeColor="text1"/>
                <w:sz w:val="20"/>
                <w:szCs w:val="20"/>
              </w:rPr>
              <w:t>Overall Service Standard – Grade Boundaries</w:t>
            </w:r>
          </w:p>
        </w:tc>
      </w:tr>
      <w:tr w:rsidR="00315F7C" w:rsidRPr="00757AEC" w14:paraId="151D9E90" w14:textId="77777777" w:rsidTr="00842536">
        <w:trPr>
          <w:trHeight w:val="283"/>
        </w:trPr>
        <w:tc>
          <w:tcPr>
            <w:tcW w:w="1224" w:type="dxa"/>
            <w:shd w:val="clear" w:color="auto" w:fill="FF0000"/>
            <w:vAlign w:val="center"/>
          </w:tcPr>
          <w:p w14:paraId="11FED5F9" w14:textId="77777777" w:rsidR="00315F7C" w:rsidRPr="00757AEC" w:rsidRDefault="00315F7C" w:rsidP="00842536">
            <w:pPr>
              <w:jc w:val="center"/>
              <w:rPr>
                <w:b/>
                <w:color w:val="FFFFFF" w:themeColor="background1"/>
                <w:sz w:val="20"/>
                <w:szCs w:val="20"/>
              </w:rPr>
            </w:pPr>
            <w:r w:rsidRPr="00757AEC">
              <w:rPr>
                <w:b/>
                <w:color w:val="FFFFFF" w:themeColor="background1"/>
                <w:sz w:val="20"/>
                <w:szCs w:val="20"/>
              </w:rPr>
              <w:t>POOR</w:t>
            </w:r>
          </w:p>
        </w:tc>
        <w:tc>
          <w:tcPr>
            <w:tcW w:w="1671" w:type="dxa"/>
            <w:shd w:val="clear" w:color="auto" w:fill="FFC000"/>
            <w:vAlign w:val="center"/>
          </w:tcPr>
          <w:p w14:paraId="78636754" w14:textId="77777777" w:rsidR="00315F7C" w:rsidRPr="00757AEC" w:rsidRDefault="00315F7C" w:rsidP="00842536">
            <w:pPr>
              <w:jc w:val="center"/>
              <w:rPr>
                <w:b/>
                <w:sz w:val="20"/>
                <w:szCs w:val="20"/>
              </w:rPr>
            </w:pPr>
            <w:r w:rsidRPr="00757AEC">
              <w:rPr>
                <w:b/>
                <w:sz w:val="20"/>
                <w:szCs w:val="20"/>
              </w:rPr>
              <w:t>ACCEPTABLE</w:t>
            </w:r>
          </w:p>
        </w:tc>
        <w:tc>
          <w:tcPr>
            <w:tcW w:w="1307" w:type="dxa"/>
            <w:shd w:val="clear" w:color="auto" w:fill="FFFF00"/>
            <w:vAlign w:val="center"/>
          </w:tcPr>
          <w:p w14:paraId="187FF25C" w14:textId="77777777" w:rsidR="00315F7C" w:rsidRPr="00757AEC" w:rsidRDefault="00315F7C" w:rsidP="00842536">
            <w:pPr>
              <w:jc w:val="center"/>
              <w:rPr>
                <w:b/>
                <w:color w:val="000000" w:themeColor="text1"/>
                <w:sz w:val="20"/>
                <w:szCs w:val="20"/>
              </w:rPr>
            </w:pPr>
            <w:r w:rsidRPr="00757AEC">
              <w:rPr>
                <w:b/>
                <w:color w:val="000000" w:themeColor="text1"/>
                <w:sz w:val="20"/>
                <w:szCs w:val="20"/>
              </w:rPr>
              <w:t>FAIR</w:t>
            </w:r>
          </w:p>
        </w:tc>
        <w:tc>
          <w:tcPr>
            <w:tcW w:w="1337" w:type="dxa"/>
            <w:shd w:val="clear" w:color="auto" w:fill="92D050"/>
            <w:vAlign w:val="center"/>
          </w:tcPr>
          <w:p w14:paraId="7F817C2C" w14:textId="77777777" w:rsidR="00315F7C" w:rsidRPr="00757AEC" w:rsidRDefault="00315F7C" w:rsidP="00842536">
            <w:pPr>
              <w:jc w:val="center"/>
              <w:rPr>
                <w:b/>
                <w:color w:val="000000" w:themeColor="text1"/>
                <w:sz w:val="20"/>
                <w:szCs w:val="20"/>
              </w:rPr>
            </w:pPr>
            <w:r w:rsidRPr="00757AEC">
              <w:rPr>
                <w:b/>
                <w:color w:val="000000" w:themeColor="text1"/>
                <w:sz w:val="20"/>
                <w:szCs w:val="20"/>
              </w:rPr>
              <w:t>GOOD</w:t>
            </w:r>
          </w:p>
        </w:tc>
        <w:tc>
          <w:tcPr>
            <w:tcW w:w="1500" w:type="dxa"/>
            <w:shd w:val="clear" w:color="auto" w:fill="00B050"/>
            <w:vAlign w:val="center"/>
          </w:tcPr>
          <w:p w14:paraId="2585B280" w14:textId="77777777" w:rsidR="00315F7C" w:rsidRPr="00757AEC" w:rsidRDefault="00315F7C" w:rsidP="00842536">
            <w:pPr>
              <w:jc w:val="center"/>
              <w:rPr>
                <w:b/>
                <w:color w:val="FFFFFF" w:themeColor="background1"/>
                <w:sz w:val="20"/>
                <w:szCs w:val="20"/>
              </w:rPr>
            </w:pPr>
            <w:r w:rsidRPr="002D2B32">
              <w:rPr>
                <w:b/>
                <w:color w:val="000000" w:themeColor="text1"/>
                <w:sz w:val="20"/>
                <w:szCs w:val="20"/>
              </w:rPr>
              <w:t>EXCELLENT</w:t>
            </w:r>
          </w:p>
        </w:tc>
      </w:tr>
      <w:tr w:rsidR="00315F7C" w:rsidRPr="00757AEC" w14:paraId="6A6CF9F6" w14:textId="77777777" w:rsidTr="00842536">
        <w:trPr>
          <w:trHeight w:val="283"/>
        </w:trPr>
        <w:tc>
          <w:tcPr>
            <w:tcW w:w="1224" w:type="dxa"/>
          </w:tcPr>
          <w:p w14:paraId="2C58A76C" w14:textId="77777777" w:rsidR="00315F7C" w:rsidRPr="00757AEC" w:rsidRDefault="00315F7C" w:rsidP="00842536">
            <w:pPr>
              <w:jc w:val="center"/>
              <w:rPr>
                <w:b/>
                <w:color w:val="000000" w:themeColor="text1"/>
                <w:sz w:val="20"/>
                <w:szCs w:val="20"/>
              </w:rPr>
            </w:pPr>
            <w:r w:rsidRPr="00757AEC">
              <w:rPr>
                <w:b/>
                <w:color w:val="000000" w:themeColor="text1"/>
                <w:sz w:val="20"/>
                <w:szCs w:val="20"/>
              </w:rPr>
              <w:t>1 to 1.9</w:t>
            </w:r>
          </w:p>
        </w:tc>
        <w:tc>
          <w:tcPr>
            <w:tcW w:w="1671" w:type="dxa"/>
          </w:tcPr>
          <w:p w14:paraId="601B9B0C" w14:textId="77777777" w:rsidR="00315F7C" w:rsidRPr="00757AEC" w:rsidRDefault="00315F7C" w:rsidP="00842536">
            <w:pPr>
              <w:jc w:val="center"/>
              <w:rPr>
                <w:b/>
                <w:color w:val="000000" w:themeColor="text1"/>
                <w:sz w:val="20"/>
                <w:szCs w:val="20"/>
              </w:rPr>
            </w:pPr>
            <w:r w:rsidRPr="00757AEC">
              <w:rPr>
                <w:b/>
                <w:color w:val="000000" w:themeColor="text1"/>
                <w:sz w:val="20"/>
                <w:szCs w:val="20"/>
              </w:rPr>
              <w:t>2 to 2.9</w:t>
            </w:r>
          </w:p>
        </w:tc>
        <w:tc>
          <w:tcPr>
            <w:tcW w:w="1307" w:type="dxa"/>
          </w:tcPr>
          <w:p w14:paraId="1E17F9C5" w14:textId="77777777" w:rsidR="00315F7C" w:rsidRPr="00757AEC" w:rsidRDefault="00315F7C" w:rsidP="00842536">
            <w:pPr>
              <w:jc w:val="center"/>
              <w:rPr>
                <w:b/>
                <w:color w:val="000000" w:themeColor="text1"/>
                <w:sz w:val="20"/>
                <w:szCs w:val="20"/>
              </w:rPr>
            </w:pPr>
            <w:r w:rsidRPr="00757AEC">
              <w:rPr>
                <w:b/>
                <w:color w:val="000000" w:themeColor="text1"/>
                <w:sz w:val="20"/>
                <w:szCs w:val="20"/>
              </w:rPr>
              <w:t>3 to 3.9</w:t>
            </w:r>
          </w:p>
        </w:tc>
        <w:tc>
          <w:tcPr>
            <w:tcW w:w="1337" w:type="dxa"/>
          </w:tcPr>
          <w:p w14:paraId="18D5CF50" w14:textId="77777777" w:rsidR="00315F7C" w:rsidRPr="00757AEC" w:rsidRDefault="00315F7C" w:rsidP="00842536">
            <w:pPr>
              <w:jc w:val="center"/>
              <w:rPr>
                <w:b/>
                <w:color w:val="000000" w:themeColor="text1"/>
                <w:sz w:val="20"/>
                <w:szCs w:val="20"/>
              </w:rPr>
            </w:pPr>
            <w:r w:rsidRPr="00757AEC">
              <w:rPr>
                <w:b/>
                <w:color w:val="000000" w:themeColor="text1"/>
                <w:sz w:val="20"/>
                <w:szCs w:val="20"/>
              </w:rPr>
              <w:t>4 to 4.9</w:t>
            </w:r>
          </w:p>
        </w:tc>
        <w:tc>
          <w:tcPr>
            <w:tcW w:w="1500" w:type="dxa"/>
          </w:tcPr>
          <w:p w14:paraId="5D7EF43F" w14:textId="77777777" w:rsidR="00315F7C" w:rsidRPr="00757AEC" w:rsidRDefault="00315F7C" w:rsidP="00842536">
            <w:pPr>
              <w:jc w:val="center"/>
              <w:rPr>
                <w:b/>
                <w:color w:val="000000" w:themeColor="text1"/>
                <w:sz w:val="20"/>
                <w:szCs w:val="20"/>
              </w:rPr>
            </w:pPr>
            <w:r w:rsidRPr="00757AEC">
              <w:rPr>
                <w:b/>
                <w:color w:val="000000" w:themeColor="text1"/>
                <w:sz w:val="20"/>
                <w:szCs w:val="20"/>
              </w:rPr>
              <w:t>5</w:t>
            </w:r>
          </w:p>
        </w:tc>
      </w:tr>
    </w:tbl>
    <w:p w14:paraId="71BE53D7" w14:textId="77777777" w:rsidR="00315F7C" w:rsidRDefault="00315F7C" w:rsidP="00E702A2">
      <w:pPr>
        <w:spacing w:after="0"/>
        <w:jc w:val="both"/>
        <w:rPr>
          <w:color w:val="000000" w:themeColor="text1"/>
          <w:sz w:val="20"/>
          <w:szCs w:val="20"/>
        </w:rPr>
      </w:pPr>
    </w:p>
    <w:sectPr w:rsidR="00315F7C" w:rsidSect="00E702A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86AC" w14:textId="77777777" w:rsidR="009D3C5F" w:rsidRDefault="009D3C5F" w:rsidP="00212E26">
      <w:pPr>
        <w:spacing w:after="0" w:line="240" w:lineRule="auto"/>
      </w:pPr>
      <w:r>
        <w:separator/>
      </w:r>
    </w:p>
  </w:endnote>
  <w:endnote w:type="continuationSeparator" w:id="0">
    <w:p w14:paraId="2BCB1C8A" w14:textId="77777777" w:rsidR="009D3C5F" w:rsidRDefault="009D3C5F" w:rsidP="0021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ECDAE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BDFC" w14:textId="4C181626" w:rsidR="009D3C5F" w:rsidRPr="00C9191C" w:rsidRDefault="009D3C5F" w:rsidP="00392C3F">
    <w:pPr>
      <w:pStyle w:val="Footer"/>
      <w:pBdr>
        <w:top w:val="thinThickSmallGap" w:sz="24" w:space="1" w:color="000000" w:themeColor="text1"/>
      </w:pBdr>
      <w:rPr>
        <w:rFonts w:cs="Arial"/>
        <w:sz w:val="20"/>
        <w:szCs w:val="20"/>
      </w:rPr>
    </w:pPr>
    <w:r w:rsidRPr="00C9191C">
      <w:rPr>
        <w:rFonts w:cs="Arial"/>
        <w:sz w:val="20"/>
        <w:szCs w:val="20"/>
      </w:rPr>
      <w:t>Transport Asset Management Plan</w:t>
    </w:r>
    <w:r>
      <w:rPr>
        <w:rFonts w:cs="Arial"/>
        <w:sz w:val="20"/>
        <w:szCs w:val="20"/>
      </w:rPr>
      <w:t xml:space="preserve"> – Phase Two April 2020</w:t>
    </w:r>
    <w:r w:rsidRPr="00C9191C">
      <w:rPr>
        <w:rFonts w:cs="Arial"/>
        <w:sz w:val="20"/>
        <w:szCs w:val="20"/>
      </w:rPr>
      <w:t xml:space="preserve"> </w:t>
    </w:r>
    <w:r>
      <w:rPr>
        <w:rFonts w:cs="Arial"/>
        <w:sz w:val="20"/>
        <w:szCs w:val="20"/>
      </w:rPr>
      <w:t>– March 2025</w:t>
    </w:r>
    <w:r w:rsidRPr="00C9191C">
      <w:rPr>
        <w:rFonts w:cs="Arial"/>
        <w:sz w:val="20"/>
        <w:szCs w:val="20"/>
      </w:rPr>
      <w:ptab w:relativeTo="margin" w:alignment="right" w:leader="none"/>
    </w:r>
    <w:r w:rsidRPr="00C9191C">
      <w:rPr>
        <w:rFonts w:cs="Arial"/>
        <w:sz w:val="20"/>
        <w:szCs w:val="20"/>
      </w:rPr>
      <w:t xml:space="preserve">Page </w:t>
    </w:r>
    <w:r w:rsidRPr="00C9191C">
      <w:rPr>
        <w:rFonts w:cs="Arial"/>
        <w:sz w:val="20"/>
        <w:szCs w:val="20"/>
      </w:rPr>
      <w:fldChar w:fldCharType="begin"/>
    </w:r>
    <w:r w:rsidRPr="00C9191C">
      <w:rPr>
        <w:rFonts w:cs="Arial"/>
        <w:sz w:val="20"/>
        <w:szCs w:val="20"/>
      </w:rPr>
      <w:instrText xml:space="preserve"> PAGE   \* MERGEFORMAT </w:instrText>
    </w:r>
    <w:r w:rsidRPr="00C9191C">
      <w:rPr>
        <w:rFonts w:cs="Arial"/>
        <w:sz w:val="20"/>
        <w:szCs w:val="20"/>
      </w:rPr>
      <w:fldChar w:fldCharType="separate"/>
    </w:r>
    <w:r>
      <w:rPr>
        <w:rFonts w:cs="Arial"/>
        <w:noProof/>
        <w:sz w:val="20"/>
        <w:szCs w:val="20"/>
      </w:rPr>
      <w:t>12</w:t>
    </w:r>
    <w:r w:rsidRPr="00C9191C">
      <w:rPr>
        <w:rFonts w:cs="Arial"/>
        <w:sz w:val="20"/>
        <w:szCs w:val="20"/>
      </w:rPr>
      <w:fldChar w:fldCharType="end"/>
    </w:r>
  </w:p>
  <w:p w14:paraId="111D75F8" w14:textId="77777777" w:rsidR="009D3C5F" w:rsidRDefault="009D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A1F85" w14:textId="77777777" w:rsidR="009D3C5F" w:rsidRDefault="009D3C5F" w:rsidP="00212E26">
      <w:pPr>
        <w:spacing w:after="0" w:line="240" w:lineRule="auto"/>
      </w:pPr>
      <w:r>
        <w:separator/>
      </w:r>
    </w:p>
  </w:footnote>
  <w:footnote w:type="continuationSeparator" w:id="0">
    <w:p w14:paraId="60116076" w14:textId="77777777" w:rsidR="009D3C5F" w:rsidRDefault="009D3C5F" w:rsidP="0021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B602" w14:textId="77777777" w:rsidR="009D3C5F" w:rsidRDefault="009D3C5F">
    <w:pPr>
      <w:pStyle w:val="Header"/>
    </w:pPr>
  </w:p>
  <w:p w14:paraId="57B82851" w14:textId="77777777" w:rsidR="009D3C5F" w:rsidRDefault="009D3C5F">
    <w:pPr>
      <w:pStyle w:val="Header"/>
    </w:pPr>
  </w:p>
  <w:p w14:paraId="4EEF911A" w14:textId="77777777" w:rsidR="009D3C5F" w:rsidRDefault="009D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879"/>
    <w:multiLevelType w:val="hybridMultilevel"/>
    <w:tmpl w:val="B02E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7572"/>
    <w:multiLevelType w:val="hybridMultilevel"/>
    <w:tmpl w:val="D000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D26E2"/>
    <w:multiLevelType w:val="hybridMultilevel"/>
    <w:tmpl w:val="A8CAEDB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06C27A99"/>
    <w:multiLevelType w:val="hybridMultilevel"/>
    <w:tmpl w:val="5774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8291D"/>
    <w:multiLevelType w:val="hybridMultilevel"/>
    <w:tmpl w:val="CA4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F207C"/>
    <w:multiLevelType w:val="hybridMultilevel"/>
    <w:tmpl w:val="F6F262D0"/>
    <w:lvl w:ilvl="0" w:tplc="2EFCD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4BA"/>
    <w:multiLevelType w:val="hybridMultilevel"/>
    <w:tmpl w:val="77988DD6"/>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EEF1D98"/>
    <w:multiLevelType w:val="hybridMultilevel"/>
    <w:tmpl w:val="F156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74F25"/>
    <w:multiLevelType w:val="hybridMultilevel"/>
    <w:tmpl w:val="368C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629B7"/>
    <w:multiLevelType w:val="hybridMultilevel"/>
    <w:tmpl w:val="13D4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0753E"/>
    <w:multiLevelType w:val="hybridMultilevel"/>
    <w:tmpl w:val="35BA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57730"/>
    <w:multiLevelType w:val="hybridMultilevel"/>
    <w:tmpl w:val="E294C6CA"/>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C1FA4"/>
    <w:multiLevelType w:val="hybridMultilevel"/>
    <w:tmpl w:val="93BAB14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242254E5"/>
    <w:multiLevelType w:val="hybridMultilevel"/>
    <w:tmpl w:val="9166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C6933"/>
    <w:multiLevelType w:val="hybridMultilevel"/>
    <w:tmpl w:val="87B2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B0823"/>
    <w:multiLevelType w:val="hybridMultilevel"/>
    <w:tmpl w:val="7C60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6279A"/>
    <w:multiLevelType w:val="hybridMultilevel"/>
    <w:tmpl w:val="33F6D42C"/>
    <w:lvl w:ilvl="0" w:tplc="ECA61A24">
      <w:start w:val="1"/>
      <w:numFmt w:val="decimal"/>
      <w:lvlText w:val="%1."/>
      <w:lvlJc w:val="left"/>
      <w:pPr>
        <w:ind w:left="780" w:hanging="360"/>
      </w:pPr>
      <w:rPr>
        <w:rFonts w:cs="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815D5"/>
    <w:multiLevelType w:val="hybridMultilevel"/>
    <w:tmpl w:val="DBAA9EE8"/>
    <w:lvl w:ilvl="0" w:tplc="A56816F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697278"/>
    <w:multiLevelType w:val="hybridMultilevel"/>
    <w:tmpl w:val="90C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B583A"/>
    <w:multiLevelType w:val="hybridMultilevel"/>
    <w:tmpl w:val="AC38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72213"/>
    <w:multiLevelType w:val="hybridMultilevel"/>
    <w:tmpl w:val="6A3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94552"/>
    <w:multiLevelType w:val="hybridMultilevel"/>
    <w:tmpl w:val="B490A366"/>
    <w:lvl w:ilvl="0" w:tplc="33021F28">
      <w:start w:val="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2DFC"/>
    <w:multiLevelType w:val="hybridMultilevel"/>
    <w:tmpl w:val="C372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A3207"/>
    <w:multiLevelType w:val="hybridMultilevel"/>
    <w:tmpl w:val="E142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07C3F"/>
    <w:multiLevelType w:val="hybridMultilevel"/>
    <w:tmpl w:val="77C89C2A"/>
    <w:lvl w:ilvl="0" w:tplc="08090001">
      <w:start w:val="1"/>
      <w:numFmt w:val="lowerLetter"/>
      <w:lvlText w:val="%1)"/>
      <w:lvlJc w:val="left"/>
      <w:pPr>
        <w:ind w:left="720" w:hanging="360"/>
      </w:pPr>
      <w:rPr>
        <w:rFonts w:hint="default"/>
      </w:rPr>
    </w:lvl>
    <w:lvl w:ilvl="1" w:tplc="77323888">
      <w:start w:val="1"/>
      <w:numFmt w:val="decimal"/>
      <w:lvlText w:val="%2."/>
      <w:lvlJc w:val="left"/>
      <w:pPr>
        <w:ind w:left="1440" w:hanging="360"/>
      </w:pPr>
      <w:rPr>
        <w:rFonts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391920A4"/>
    <w:multiLevelType w:val="hybridMultilevel"/>
    <w:tmpl w:val="F89E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33C3E"/>
    <w:multiLevelType w:val="hybridMultilevel"/>
    <w:tmpl w:val="C1D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C08E9"/>
    <w:multiLevelType w:val="hybridMultilevel"/>
    <w:tmpl w:val="2F508C70"/>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44ED7ECF"/>
    <w:multiLevelType w:val="hybridMultilevel"/>
    <w:tmpl w:val="29588A5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47507B89"/>
    <w:multiLevelType w:val="hybridMultilevel"/>
    <w:tmpl w:val="A20C2B04"/>
    <w:lvl w:ilvl="0" w:tplc="78D03708">
      <w:start w:val="1"/>
      <w:numFmt w:val="decimal"/>
      <w:lvlText w:val="%1."/>
      <w:lvlJc w:val="left"/>
      <w:pPr>
        <w:ind w:left="720" w:hanging="360"/>
      </w:pPr>
      <w:rPr>
        <w:rFonts w:cs="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69048F"/>
    <w:multiLevelType w:val="hybridMultilevel"/>
    <w:tmpl w:val="7E78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F2E61"/>
    <w:multiLevelType w:val="hybridMultilevel"/>
    <w:tmpl w:val="D4CE7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83D63D6"/>
    <w:multiLevelType w:val="hybridMultilevel"/>
    <w:tmpl w:val="7A4AEDBE"/>
    <w:lvl w:ilvl="0" w:tplc="08090001">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C6FBE"/>
    <w:multiLevelType w:val="hybridMultilevel"/>
    <w:tmpl w:val="C944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300EF"/>
    <w:multiLevelType w:val="hybridMultilevel"/>
    <w:tmpl w:val="5B0C4C4E"/>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5E4965DE"/>
    <w:multiLevelType w:val="hybridMultilevel"/>
    <w:tmpl w:val="A85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C24929"/>
    <w:multiLevelType w:val="hybridMultilevel"/>
    <w:tmpl w:val="ABCE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4154E2"/>
    <w:multiLevelType w:val="hybridMultilevel"/>
    <w:tmpl w:val="650C195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69AD6539"/>
    <w:multiLevelType w:val="hybridMultilevel"/>
    <w:tmpl w:val="7822109A"/>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9" w15:restartNumberingAfterBreak="0">
    <w:nsid w:val="78B504FD"/>
    <w:multiLevelType w:val="hybridMultilevel"/>
    <w:tmpl w:val="392C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243DF"/>
    <w:multiLevelType w:val="hybridMultilevel"/>
    <w:tmpl w:val="E9F2AC34"/>
    <w:lvl w:ilvl="0" w:tplc="1D602EE2">
      <w:start w:val="2"/>
      <w:numFmt w:val="decimal"/>
      <w:lvlText w:val="%1."/>
      <w:lvlJc w:val="left"/>
      <w:pPr>
        <w:ind w:left="780" w:hanging="360"/>
      </w:pPr>
      <w:rPr>
        <w:rFonts w:cs="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30"/>
  </w:num>
  <w:num w:numId="5">
    <w:abstractNumId w:val="15"/>
  </w:num>
  <w:num w:numId="6">
    <w:abstractNumId w:val="14"/>
  </w:num>
  <w:num w:numId="7">
    <w:abstractNumId w:val="22"/>
  </w:num>
  <w:num w:numId="8">
    <w:abstractNumId w:val="32"/>
  </w:num>
  <w:num w:numId="9">
    <w:abstractNumId w:val="7"/>
  </w:num>
  <w:num w:numId="10">
    <w:abstractNumId w:val="35"/>
  </w:num>
  <w:num w:numId="11">
    <w:abstractNumId w:val="8"/>
  </w:num>
  <w:num w:numId="12">
    <w:abstractNumId w:val="26"/>
  </w:num>
  <w:num w:numId="13">
    <w:abstractNumId w:val="2"/>
  </w:num>
  <w:num w:numId="14">
    <w:abstractNumId w:val="28"/>
  </w:num>
  <w:num w:numId="15">
    <w:abstractNumId w:val="4"/>
  </w:num>
  <w:num w:numId="16">
    <w:abstractNumId w:val="10"/>
  </w:num>
  <w:num w:numId="17">
    <w:abstractNumId w:val="37"/>
  </w:num>
  <w:num w:numId="18">
    <w:abstractNumId w:val="33"/>
  </w:num>
  <w:num w:numId="19">
    <w:abstractNumId w:val="12"/>
  </w:num>
  <w:num w:numId="20">
    <w:abstractNumId w:val="36"/>
  </w:num>
  <w:num w:numId="21">
    <w:abstractNumId w:val="18"/>
  </w:num>
  <w:num w:numId="22">
    <w:abstractNumId w:val="3"/>
  </w:num>
  <w:num w:numId="23">
    <w:abstractNumId w:val="13"/>
  </w:num>
  <w:num w:numId="24">
    <w:abstractNumId w:val="23"/>
  </w:num>
  <w:num w:numId="25">
    <w:abstractNumId w:val="34"/>
  </w:num>
  <w:num w:numId="26">
    <w:abstractNumId w:val="38"/>
  </w:num>
  <w:num w:numId="27">
    <w:abstractNumId w:val="27"/>
  </w:num>
  <w:num w:numId="28">
    <w:abstractNumId w:val="5"/>
  </w:num>
  <w:num w:numId="29">
    <w:abstractNumId w:val="24"/>
  </w:num>
  <w:num w:numId="30">
    <w:abstractNumId w:val="1"/>
  </w:num>
  <w:num w:numId="31">
    <w:abstractNumId w:val="17"/>
  </w:num>
  <w:num w:numId="32">
    <w:abstractNumId w:val="25"/>
  </w:num>
  <w:num w:numId="33">
    <w:abstractNumId w:val="39"/>
  </w:num>
  <w:num w:numId="34">
    <w:abstractNumId w:val="11"/>
  </w:num>
  <w:num w:numId="35">
    <w:abstractNumId w:val="31"/>
  </w:num>
  <w:num w:numId="36">
    <w:abstractNumId w:val="0"/>
  </w:num>
  <w:num w:numId="37">
    <w:abstractNumId w:val="6"/>
  </w:num>
  <w:num w:numId="38">
    <w:abstractNumId w:val="21"/>
  </w:num>
  <w:num w:numId="39">
    <w:abstractNumId w:val="29"/>
  </w:num>
  <w:num w:numId="40">
    <w:abstractNumId w:val="40"/>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064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10"/>
    <w:rsid w:val="00000491"/>
    <w:rsid w:val="00000713"/>
    <w:rsid w:val="00001FE9"/>
    <w:rsid w:val="00002A46"/>
    <w:rsid w:val="00004398"/>
    <w:rsid w:val="00004DFC"/>
    <w:rsid w:val="00005503"/>
    <w:rsid w:val="000059B5"/>
    <w:rsid w:val="0000638E"/>
    <w:rsid w:val="00006779"/>
    <w:rsid w:val="000108F9"/>
    <w:rsid w:val="000121F2"/>
    <w:rsid w:val="00012408"/>
    <w:rsid w:val="00012F10"/>
    <w:rsid w:val="000149FE"/>
    <w:rsid w:val="000153A8"/>
    <w:rsid w:val="00021283"/>
    <w:rsid w:val="0002172F"/>
    <w:rsid w:val="000221C1"/>
    <w:rsid w:val="000224DC"/>
    <w:rsid w:val="000225C3"/>
    <w:rsid w:val="0002303D"/>
    <w:rsid w:val="00023D54"/>
    <w:rsid w:val="000247D6"/>
    <w:rsid w:val="00025BEF"/>
    <w:rsid w:val="00026C34"/>
    <w:rsid w:val="00026C67"/>
    <w:rsid w:val="000279C8"/>
    <w:rsid w:val="00030BAA"/>
    <w:rsid w:val="00031737"/>
    <w:rsid w:val="00031C00"/>
    <w:rsid w:val="0003215F"/>
    <w:rsid w:val="00032D23"/>
    <w:rsid w:val="0003428B"/>
    <w:rsid w:val="000343AA"/>
    <w:rsid w:val="00035BBF"/>
    <w:rsid w:val="00035DC3"/>
    <w:rsid w:val="00037472"/>
    <w:rsid w:val="00037A32"/>
    <w:rsid w:val="00037A7A"/>
    <w:rsid w:val="00045A59"/>
    <w:rsid w:val="00050231"/>
    <w:rsid w:val="00050426"/>
    <w:rsid w:val="00050691"/>
    <w:rsid w:val="00053FAB"/>
    <w:rsid w:val="000546CB"/>
    <w:rsid w:val="00054C55"/>
    <w:rsid w:val="00055090"/>
    <w:rsid w:val="00055EFF"/>
    <w:rsid w:val="00056FDD"/>
    <w:rsid w:val="00062170"/>
    <w:rsid w:val="00063E68"/>
    <w:rsid w:val="000642AC"/>
    <w:rsid w:val="00065A79"/>
    <w:rsid w:val="00066C08"/>
    <w:rsid w:val="00067638"/>
    <w:rsid w:val="0006794A"/>
    <w:rsid w:val="000733A5"/>
    <w:rsid w:val="00077A31"/>
    <w:rsid w:val="0008022B"/>
    <w:rsid w:val="00080D03"/>
    <w:rsid w:val="00082F0E"/>
    <w:rsid w:val="00086444"/>
    <w:rsid w:val="000875DB"/>
    <w:rsid w:val="0009123F"/>
    <w:rsid w:val="00091EEC"/>
    <w:rsid w:val="0009345E"/>
    <w:rsid w:val="00093744"/>
    <w:rsid w:val="000966F0"/>
    <w:rsid w:val="0009737C"/>
    <w:rsid w:val="000A01C1"/>
    <w:rsid w:val="000A1450"/>
    <w:rsid w:val="000A2325"/>
    <w:rsid w:val="000A72E4"/>
    <w:rsid w:val="000A7C05"/>
    <w:rsid w:val="000B0BFE"/>
    <w:rsid w:val="000B6DE6"/>
    <w:rsid w:val="000B76B7"/>
    <w:rsid w:val="000C45D7"/>
    <w:rsid w:val="000C4981"/>
    <w:rsid w:val="000C553F"/>
    <w:rsid w:val="000C7DE7"/>
    <w:rsid w:val="000D1337"/>
    <w:rsid w:val="000D25DB"/>
    <w:rsid w:val="000D29CD"/>
    <w:rsid w:val="000D3A17"/>
    <w:rsid w:val="000D41C2"/>
    <w:rsid w:val="000D4654"/>
    <w:rsid w:val="000D4D95"/>
    <w:rsid w:val="000D5E33"/>
    <w:rsid w:val="000D70FF"/>
    <w:rsid w:val="000E4DED"/>
    <w:rsid w:val="000E769A"/>
    <w:rsid w:val="000F0F9F"/>
    <w:rsid w:val="000F214F"/>
    <w:rsid w:val="000F2CE5"/>
    <w:rsid w:val="000F2ED0"/>
    <w:rsid w:val="000F3CC3"/>
    <w:rsid w:val="000F4507"/>
    <w:rsid w:val="000F56E2"/>
    <w:rsid w:val="000F5FC4"/>
    <w:rsid w:val="000F6783"/>
    <w:rsid w:val="0010034E"/>
    <w:rsid w:val="001012F7"/>
    <w:rsid w:val="00101371"/>
    <w:rsid w:val="0010167E"/>
    <w:rsid w:val="0010185A"/>
    <w:rsid w:val="00104145"/>
    <w:rsid w:val="00104CE2"/>
    <w:rsid w:val="00105A2C"/>
    <w:rsid w:val="0010655D"/>
    <w:rsid w:val="0010798E"/>
    <w:rsid w:val="00107B8C"/>
    <w:rsid w:val="00111B25"/>
    <w:rsid w:val="00113287"/>
    <w:rsid w:val="001139F1"/>
    <w:rsid w:val="00114AE2"/>
    <w:rsid w:val="001159BD"/>
    <w:rsid w:val="001172F5"/>
    <w:rsid w:val="001209D7"/>
    <w:rsid w:val="001214FA"/>
    <w:rsid w:val="001221F3"/>
    <w:rsid w:val="00123170"/>
    <w:rsid w:val="0012498A"/>
    <w:rsid w:val="00125B49"/>
    <w:rsid w:val="0012789B"/>
    <w:rsid w:val="00127C56"/>
    <w:rsid w:val="0013016C"/>
    <w:rsid w:val="00130F70"/>
    <w:rsid w:val="00131445"/>
    <w:rsid w:val="00132CF7"/>
    <w:rsid w:val="00133CEA"/>
    <w:rsid w:val="00134804"/>
    <w:rsid w:val="0013560B"/>
    <w:rsid w:val="00136303"/>
    <w:rsid w:val="00137B95"/>
    <w:rsid w:val="001409D3"/>
    <w:rsid w:val="0014446B"/>
    <w:rsid w:val="00145994"/>
    <w:rsid w:val="00146DD2"/>
    <w:rsid w:val="00146DEB"/>
    <w:rsid w:val="001508C5"/>
    <w:rsid w:val="00150DFC"/>
    <w:rsid w:val="001518E3"/>
    <w:rsid w:val="00151929"/>
    <w:rsid w:val="00151ECF"/>
    <w:rsid w:val="001528C9"/>
    <w:rsid w:val="001530E2"/>
    <w:rsid w:val="001532DA"/>
    <w:rsid w:val="00154907"/>
    <w:rsid w:val="00155A45"/>
    <w:rsid w:val="001562F6"/>
    <w:rsid w:val="00156452"/>
    <w:rsid w:val="00157F19"/>
    <w:rsid w:val="00157FB9"/>
    <w:rsid w:val="001629EF"/>
    <w:rsid w:val="00162F22"/>
    <w:rsid w:val="0016506F"/>
    <w:rsid w:val="001664EC"/>
    <w:rsid w:val="001670E3"/>
    <w:rsid w:val="00167A80"/>
    <w:rsid w:val="00172233"/>
    <w:rsid w:val="00172507"/>
    <w:rsid w:val="00173E13"/>
    <w:rsid w:val="00173FD2"/>
    <w:rsid w:val="00175C6B"/>
    <w:rsid w:val="00175CC7"/>
    <w:rsid w:val="0017752D"/>
    <w:rsid w:val="00180460"/>
    <w:rsid w:val="00183BD3"/>
    <w:rsid w:val="001859F2"/>
    <w:rsid w:val="00186FDB"/>
    <w:rsid w:val="00187A69"/>
    <w:rsid w:val="00187C20"/>
    <w:rsid w:val="00187ECF"/>
    <w:rsid w:val="00190D23"/>
    <w:rsid w:val="00193356"/>
    <w:rsid w:val="00193F61"/>
    <w:rsid w:val="001947DC"/>
    <w:rsid w:val="00194B87"/>
    <w:rsid w:val="00197B6B"/>
    <w:rsid w:val="001A0E8F"/>
    <w:rsid w:val="001A13AA"/>
    <w:rsid w:val="001A182E"/>
    <w:rsid w:val="001A4692"/>
    <w:rsid w:val="001A5DB4"/>
    <w:rsid w:val="001A64C4"/>
    <w:rsid w:val="001B17A3"/>
    <w:rsid w:val="001B1ED6"/>
    <w:rsid w:val="001B5AE4"/>
    <w:rsid w:val="001C03A1"/>
    <w:rsid w:val="001C0BA2"/>
    <w:rsid w:val="001C1EFE"/>
    <w:rsid w:val="001C1FB8"/>
    <w:rsid w:val="001C41C8"/>
    <w:rsid w:val="001C579B"/>
    <w:rsid w:val="001C5990"/>
    <w:rsid w:val="001C5B29"/>
    <w:rsid w:val="001C7B68"/>
    <w:rsid w:val="001D2B8D"/>
    <w:rsid w:val="001D2B94"/>
    <w:rsid w:val="001D3167"/>
    <w:rsid w:val="001D323F"/>
    <w:rsid w:val="001D35B1"/>
    <w:rsid w:val="001D5CBF"/>
    <w:rsid w:val="001D65E5"/>
    <w:rsid w:val="001E1CC2"/>
    <w:rsid w:val="001E2174"/>
    <w:rsid w:val="001E31DC"/>
    <w:rsid w:val="001E3CD9"/>
    <w:rsid w:val="001E466E"/>
    <w:rsid w:val="001E469F"/>
    <w:rsid w:val="001E48AF"/>
    <w:rsid w:val="001E4FA5"/>
    <w:rsid w:val="001E547B"/>
    <w:rsid w:val="001F0EA8"/>
    <w:rsid w:val="001F0FE6"/>
    <w:rsid w:val="001F1050"/>
    <w:rsid w:val="001F1E12"/>
    <w:rsid w:val="001F1E62"/>
    <w:rsid w:val="001F35E9"/>
    <w:rsid w:val="001F3E37"/>
    <w:rsid w:val="001F4491"/>
    <w:rsid w:val="001F512B"/>
    <w:rsid w:val="001F5A46"/>
    <w:rsid w:val="001F721E"/>
    <w:rsid w:val="00201402"/>
    <w:rsid w:val="002018FB"/>
    <w:rsid w:val="00204D65"/>
    <w:rsid w:val="0020668F"/>
    <w:rsid w:val="00206959"/>
    <w:rsid w:val="00206D81"/>
    <w:rsid w:val="002114DB"/>
    <w:rsid w:val="00212566"/>
    <w:rsid w:val="00212E26"/>
    <w:rsid w:val="002131AB"/>
    <w:rsid w:val="00213AF3"/>
    <w:rsid w:val="00214EB7"/>
    <w:rsid w:val="002164BE"/>
    <w:rsid w:val="00222054"/>
    <w:rsid w:val="002220FB"/>
    <w:rsid w:val="002221DD"/>
    <w:rsid w:val="002226A2"/>
    <w:rsid w:val="00222E83"/>
    <w:rsid w:val="00223B80"/>
    <w:rsid w:val="0022511E"/>
    <w:rsid w:val="00227286"/>
    <w:rsid w:val="00227BA6"/>
    <w:rsid w:val="00231A8A"/>
    <w:rsid w:val="00232B50"/>
    <w:rsid w:val="00234234"/>
    <w:rsid w:val="002354A9"/>
    <w:rsid w:val="00237238"/>
    <w:rsid w:val="0024303C"/>
    <w:rsid w:val="0024438E"/>
    <w:rsid w:val="002468A1"/>
    <w:rsid w:val="00251AF0"/>
    <w:rsid w:val="00252F59"/>
    <w:rsid w:val="0025373B"/>
    <w:rsid w:val="00253A11"/>
    <w:rsid w:val="00254493"/>
    <w:rsid w:val="002545FC"/>
    <w:rsid w:val="00256528"/>
    <w:rsid w:val="00260070"/>
    <w:rsid w:val="00261D15"/>
    <w:rsid w:val="002623E0"/>
    <w:rsid w:val="00262E4A"/>
    <w:rsid w:val="00263C36"/>
    <w:rsid w:val="00265E96"/>
    <w:rsid w:val="002735D6"/>
    <w:rsid w:val="00273D92"/>
    <w:rsid w:val="00273ED4"/>
    <w:rsid w:val="002750FB"/>
    <w:rsid w:val="00275808"/>
    <w:rsid w:val="00275AA8"/>
    <w:rsid w:val="00276C92"/>
    <w:rsid w:val="00277359"/>
    <w:rsid w:val="002800AE"/>
    <w:rsid w:val="002814D4"/>
    <w:rsid w:val="00281F1E"/>
    <w:rsid w:val="00282885"/>
    <w:rsid w:val="00285EC1"/>
    <w:rsid w:val="002871EC"/>
    <w:rsid w:val="00287A46"/>
    <w:rsid w:val="00290051"/>
    <w:rsid w:val="00292261"/>
    <w:rsid w:val="00292A3D"/>
    <w:rsid w:val="00292CCF"/>
    <w:rsid w:val="0029379F"/>
    <w:rsid w:val="002944B1"/>
    <w:rsid w:val="00294FF7"/>
    <w:rsid w:val="00296825"/>
    <w:rsid w:val="002A157B"/>
    <w:rsid w:val="002A17BC"/>
    <w:rsid w:val="002A259F"/>
    <w:rsid w:val="002A2FC9"/>
    <w:rsid w:val="002A3530"/>
    <w:rsid w:val="002A3B51"/>
    <w:rsid w:val="002A6A62"/>
    <w:rsid w:val="002B26C5"/>
    <w:rsid w:val="002B4581"/>
    <w:rsid w:val="002B60EF"/>
    <w:rsid w:val="002B6884"/>
    <w:rsid w:val="002B6B6E"/>
    <w:rsid w:val="002B7016"/>
    <w:rsid w:val="002B7953"/>
    <w:rsid w:val="002B7BB9"/>
    <w:rsid w:val="002C1AF0"/>
    <w:rsid w:val="002C25E5"/>
    <w:rsid w:val="002C33D2"/>
    <w:rsid w:val="002C4B65"/>
    <w:rsid w:val="002C6071"/>
    <w:rsid w:val="002C625B"/>
    <w:rsid w:val="002C628B"/>
    <w:rsid w:val="002C6F70"/>
    <w:rsid w:val="002D080E"/>
    <w:rsid w:val="002D172D"/>
    <w:rsid w:val="002D2B32"/>
    <w:rsid w:val="002D36FF"/>
    <w:rsid w:val="002D6F7D"/>
    <w:rsid w:val="002E0BA1"/>
    <w:rsid w:val="002E1952"/>
    <w:rsid w:val="002E2AF3"/>
    <w:rsid w:val="002E7D75"/>
    <w:rsid w:val="002F0F76"/>
    <w:rsid w:val="002F304D"/>
    <w:rsid w:val="002F5378"/>
    <w:rsid w:val="002F5C0D"/>
    <w:rsid w:val="002F6103"/>
    <w:rsid w:val="002F6367"/>
    <w:rsid w:val="002F776A"/>
    <w:rsid w:val="002F7A4D"/>
    <w:rsid w:val="0030056B"/>
    <w:rsid w:val="003018E0"/>
    <w:rsid w:val="0030220A"/>
    <w:rsid w:val="00302F5C"/>
    <w:rsid w:val="00302FA8"/>
    <w:rsid w:val="0030353D"/>
    <w:rsid w:val="003043D6"/>
    <w:rsid w:val="003056D7"/>
    <w:rsid w:val="00305BDF"/>
    <w:rsid w:val="0031241D"/>
    <w:rsid w:val="003138A9"/>
    <w:rsid w:val="0031401D"/>
    <w:rsid w:val="00315F7C"/>
    <w:rsid w:val="00320273"/>
    <w:rsid w:val="00325908"/>
    <w:rsid w:val="0032598C"/>
    <w:rsid w:val="003259FB"/>
    <w:rsid w:val="00325BE0"/>
    <w:rsid w:val="003266A2"/>
    <w:rsid w:val="00327FD0"/>
    <w:rsid w:val="003317C3"/>
    <w:rsid w:val="0033211C"/>
    <w:rsid w:val="00332FB3"/>
    <w:rsid w:val="0033461B"/>
    <w:rsid w:val="00334EF8"/>
    <w:rsid w:val="0033503D"/>
    <w:rsid w:val="003362DB"/>
    <w:rsid w:val="0034002A"/>
    <w:rsid w:val="00342F00"/>
    <w:rsid w:val="00344E95"/>
    <w:rsid w:val="003459F6"/>
    <w:rsid w:val="00350011"/>
    <w:rsid w:val="0035080B"/>
    <w:rsid w:val="0035125E"/>
    <w:rsid w:val="003546DB"/>
    <w:rsid w:val="00354FF9"/>
    <w:rsid w:val="0035502F"/>
    <w:rsid w:val="00360FC4"/>
    <w:rsid w:val="0036124B"/>
    <w:rsid w:val="00362BD7"/>
    <w:rsid w:val="0036310E"/>
    <w:rsid w:val="003650E6"/>
    <w:rsid w:val="003658FE"/>
    <w:rsid w:val="00366598"/>
    <w:rsid w:val="00366619"/>
    <w:rsid w:val="00370360"/>
    <w:rsid w:val="00371623"/>
    <w:rsid w:val="003731B3"/>
    <w:rsid w:val="00373AD0"/>
    <w:rsid w:val="00373E68"/>
    <w:rsid w:val="003740E1"/>
    <w:rsid w:val="0037465C"/>
    <w:rsid w:val="003746A7"/>
    <w:rsid w:val="00374D19"/>
    <w:rsid w:val="00374D39"/>
    <w:rsid w:val="003750F2"/>
    <w:rsid w:val="003758F1"/>
    <w:rsid w:val="003761B9"/>
    <w:rsid w:val="003769E7"/>
    <w:rsid w:val="00382E4C"/>
    <w:rsid w:val="003848AA"/>
    <w:rsid w:val="00384934"/>
    <w:rsid w:val="00384D1B"/>
    <w:rsid w:val="00385188"/>
    <w:rsid w:val="003860A7"/>
    <w:rsid w:val="00387530"/>
    <w:rsid w:val="00392B9B"/>
    <w:rsid w:val="00392C3F"/>
    <w:rsid w:val="003934ED"/>
    <w:rsid w:val="00394603"/>
    <w:rsid w:val="003A04E6"/>
    <w:rsid w:val="003A0C00"/>
    <w:rsid w:val="003A1E94"/>
    <w:rsid w:val="003A2017"/>
    <w:rsid w:val="003A21CC"/>
    <w:rsid w:val="003A25A3"/>
    <w:rsid w:val="003A5088"/>
    <w:rsid w:val="003A55D6"/>
    <w:rsid w:val="003A680B"/>
    <w:rsid w:val="003B0F92"/>
    <w:rsid w:val="003B2397"/>
    <w:rsid w:val="003B2859"/>
    <w:rsid w:val="003B5422"/>
    <w:rsid w:val="003B690F"/>
    <w:rsid w:val="003B7D8F"/>
    <w:rsid w:val="003B7E45"/>
    <w:rsid w:val="003C0FC0"/>
    <w:rsid w:val="003C14A3"/>
    <w:rsid w:val="003C2F82"/>
    <w:rsid w:val="003C3A6E"/>
    <w:rsid w:val="003C446A"/>
    <w:rsid w:val="003C6584"/>
    <w:rsid w:val="003C6CDF"/>
    <w:rsid w:val="003C6EB4"/>
    <w:rsid w:val="003C6F0A"/>
    <w:rsid w:val="003C791C"/>
    <w:rsid w:val="003C7E6C"/>
    <w:rsid w:val="003D0899"/>
    <w:rsid w:val="003D262E"/>
    <w:rsid w:val="003D33AE"/>
    <w:rsid w:val="003D35E4"/>
    <w:rsid w:val="003D4A65"/>
    <w:rsid w:val="003E1338"/>
    <w:rsid w:val="003E35C6"/>
    <w:rsid w:val="003E3EE6"/>
    <w:rsid w:val="003E3EED"/>
    <w:rsid w:val="003E689D"/>
    <w:rsid w:val="003E6CF4"/>
    <w:rsid w:val="003E7011"/>
    <w:rsid w:val="003E72AB"/>
    <w:rsid w:val="003F0B39"/>
    <w:rsid w:val="003F139A"/>
    <w:rsid w:val="003F388E"/>
    <w:rsid w:val="004001C1"/>
    <w:rsid w:val="00402208"/>
    <w:rsid w:val="00402E22"/>
    <w:rsid w:val="004033A3"/>
    <w:rsid w:val="0040456C"/>
    <w:rsid w:val="00404BA7"/>
    <w:rsid w:val="00404DBB"/>
    <w:rsid w:val="00404DF8"/>
    <w:rsid w:val="00410691"/>
    <w:rsid w:val="0041275E"/>
    <w:rsid w:val="00413F14"/>
    <w:rsid w:val="00413F6B"/>
    <w:rsid w:val="00416302"/>
    <w:rsid w:val="00416BDB"/>
    <w:rsid w:val="00416DE1"/>
    <w:rsid w:val="00423019"/>
    <w:rsid w:val="00424318"/>
    <w:rsid w:val="00425EE2"/>
    <w:rsid w:val="004276A4"/>
    <w:rsid w:val="00434029"/>
    <w:rsid w:val="00434578"/>
    <w:rsid w:val="0043662A"/>
    <w:rsid w:val="00437FB2"/>
    <w:rsid w:val="004408D2"/>
    <w:rsid w:val="00440F26"/>
    <w:rsid w:val="004414E0"/>
    <w:rsid w:val="00442F89"/>
    <w:rsid w:val="00443476"/>
    <w:rsid w:val="004448ED"/>
    <w:rsid w:val="00444C42"/>
    <w:rsid w:val="004451CE"/>
    <w:rsid w:val="0044599B"/>
    <w:rsid w:val="00445E58"/>
    <w:rsid w:val="004460CB"/>
    <w:rsid w:val="004465EC"/>
    <w:rsid w:val="00447782"/>
    <w:rsid w:val="0045058B"/>
    <w:rsid w:val="004506AE"/>
    <w:rsid w:val="0045258E"/>
    <w:rsid w:val="00452775"/>
    <w:rsid w:val="00452C03"/>
    <w:rsid w:val="00455167"/>
    <w:rsid w:val="00457FD1"/>
    <w:rsid w:val="0046057D"/>
    <w:rsid w:val="004617CE"/>
    <w:rsid w:val="00465592"/>
    <w:rsid w:val="00465C17"/>
    <w:rsid w:val="00471376"/>
    <w:rsid w:val="00472D02"/>
    <w:rsid w:val="00473ECD"/>
    <w:rsid w:val="004741A0"/>
    <w:rsid w:val="0047445F"/>
    <w:rsid w:val="004768AC"/>
    <w:rsid w:val="00477EB2"/>
    <w:rsid w:val="0048369B"/>
    <w:rsid w:val="00485917"/>
    <w:rsid w:val="0049139F"/>
    <w:rsid w:val="00493CB6"/>
    <w:rsid w:val="0049481F"/>
    <w:rsid w:val="00494E09"/>
    <w:rsid w:val="00495C18"/>
    <w:rsid w:val="004960A1"/>
    <w:rsid w:val="00496263"/>
    <w:rsid w:val="00496A93"/>
    <w:rsid w:val="004A0BCC"/>
    <w:rsid w:val="004A1D73"/>
    <w:rsid w:val="004A3047"/>
    <w:rsid w:val="004A320F"/>
    <w:rsid w:val="004A35B9"/>
    <w:rsid w:val="004A5A56"/>
    <w:rsid w:val="004A7104"/>
    <w:rsid w:val="004B0AF6"/>
    <w:rsid w:val="004B1468"/>
    <w:rsid w:val="004B32CD"/>
    <w:rsid w:val="004B3377"/>
    <w:rsid w:val="004B4BF4"/>
    <w:rsid w:val="004B58B1"/>
    <w:rsid w:val="004B5EF4"/>
    <w:rsid w:val="004B6188"/>
    <w:rsid w:val="004B6421"/>
    <w:rsid w:val="004B64A5"/>
    <w:rsid w:val="004C0747"/>
    <w:rsid w:val="004C12FD"/>
    <w:rsid w:val="004C1EA8"/>
    <w:rsid w:val="004C418D"/>
    <w:rsid w:val="004C465C"/>
    <w:rsid w:val="004C50A8"/>
    <w:rsid w:val="004C627C"/>
    <w:rsid w:val="004C6753"/>
    <w:rsid w:val="004D2562"/>
    <w:rsid w:val="004D3B18"/>
    <w:rsid w:val="004D4BFC"/>
    <w:rsid w:val="004D66F8"/>
    <w:rsid w:val="004E1C6B"/>
    <w:rsid w:val="004E2138"/>
    <w:rsid w:val="004E2C43"/>
    <w:rsid w:val="004E3243"/>
    <w:rsid w:val="004E3474"/>
    <w:rsid w:val="004E4407"/>
    <w:rsid w:val="004E56E2"/>
    <w:rsid w:val="004F0626"/>
    <w:rsid w:val="004F1568"/>
    <w:rsid w:val="004F4307"/>
    <w:rsid w:val="005019D9"/>
    <w:rsid w:val="00502ECC"/>
    <w:rsid w:val="0050495A"/>
    <w:rsid w:val="0050648B"/>
    <w:rsid w:val="00510FD7"/>
    <w:rsid w:val="005110F3"/>
    <w:rsid w:val="005115ED"/>
    <w:rsid w:val="0051200E"/>
    <w:rsid w:val="0051290E"/>
    <w:rsid w:val="005136E3"/>
    <w:rsid w:val="0051691F"/>
    <w:rsid w:val="005176F4"/>
    <w:rsid w:val="00517C33"/>
    <w:rsid w:val="00522728"/>
    <w:rsid w:val="005234B8"/>
    <w:rsid w:val="005246D1"/>
    <w:rsid w:val="00524B56"/>
    <w:rsid w:val="005250D8"/>
    <w:rsid w:val="00526B0B"/>
    <w:rsid w:val="00527145"/>
    <w:rsid w:val="005323D8"/>
    <w:rsid w:val="00532790"/>
    <w:rsid w:val="00533E14"/>
    <w:rsid w:val="00537202"/>
    <w:rsid w:val="00540243"/>
    <w:rsid w:val="00540D43"/>
    <w:rsid w:val="005419FF"/>
    <w:rsid w:val="005456A7"/>
    <w:rsid w:val="0054677A"/>
    <w:rsid w:val="00546E40"/>
    <w:rsid w:val="005514AD"/>
    <w:rsid w:val="00552530"/>
    <w:rsid w:val="0055388A"/>
    <w:rsid w:val="005576B2"/>
    <w:rsid w:val="00561F4B"/>
    <w:rsid w:val="00562440"/>
    <w:rsid w:val="005632BA"/>
    <w:rsid w:val="00564D7C"/>
    <w:rsid w:val="0056610D"/>
    <w:rsid w:val="00567487"/>
    <w:rsid w:val="00567C87"/>
    <w:rsid w:val="0057173F"/>
    <w:rsid w:val="005718F7"/>
    <w:rsid w:val="0057279C"/>
    <w:rsid w:val="00573789"/>
    <w:rsid w:val="00575181"/>
    <w:rsid w:val="005816FF"/>
    <w:rsid w:val="00586C75"/>
    <w:rsid w:val="00590359"/>
    <w:rsid w:val="00590579"/>
    <w:rsid w:val="00590EFB"/>
    <w:rsid w:val="00591AC3"/>
    <w:rsid w:val="005933CD"/>
    <w:rsid w:val="0059398F"/>
    <w:rsid w:val="0059409E"/>
    <w:rsid w:val="005953EB"/>
    <w:rsid w:val="00596088"/>
    <w:rsid w:val="005960E2"/>
    <w:rsid w:val="0059613A"/>
    <w:rsid w:val="00596645"/>
    <w:rsid w:val="00596C45"/>
    <w:rsid w:val="005A1D10"/>
    <w:rsid w:val="005A2898"/>
    <w:rsid w:val="005A2F6E"/>
    <w:rsid w:val="005A3395"/>
    <w:rsid w:val="005A35FD"/>
    <w:rsid w:val="005A4E41"/>
    <w:rsid w:val="005A56CE"/>
    <w:rsid w:val="005A57F5"/>
    <w:rsid w:val="005A6790"/>
    <w:rsid w:val="005B0230"/>
    <w:rsid w:val="005B0A46"/>
    <w:rsid w:val="005B110B"/>
    <w:rsid w:val="005B1C63"/>
    <w:rsid w:val="005B1F7E"/>
    <w:rsid w:val="005B2212"/>
    <w:rsid w:val="005B5C13"/>
    <w:rsid w:val="005B7F18"/>
    <w:rsid w:val="005C1347"/>
    <w:rsid w:val="005C1936"/>
    <w:rsid w:val="005C1E41"/>
    <w:rsid w:val="005C4221"/>
    <w:rsid w:val="005C4726"/>
    <w:rsid w:val="005C5031"/>
    <w:rsid w:val="005C6052"/>
    <w:rsid w:val="005C67D2"/>
    <w:rsid w:val="005C688D"/>
    <w:rsid w:val="005C7E37"/>
    <w:rsid w:val="005D069C"/>
    <w:rsid w:val="005D0831"/>
    <w:rsid w:val="005D0F8E"/>
    <w:rsid w:val="005D2668"/>
    <w:rsid w:val="005D32C2"/>
    <w:rsid w:val="005D6DA0"/>
    <w:rsid w:val="005D7178"/>
    <w:rsid w:val="005E0556"/>
    <w:rsid w:val="005E12E0"/>
    <w:rsid w:val="005E40F6"/>
    <w:rsid w:val="005E5342"/>
    <w:rsid w:val="005E5541"/>
    <w:rsid w:val="005E6685"/>
    <w:rsid w:val="005F00BE"/>
    <w:rsid w:val="005F026A"/>
    <w:rsid w:val="005F0321"/>
    <w:rsid w:val="005F0777"/>
    <w:rsid w:val="005F20B9"/>
    <w:rsid w:val="005F433B"/>
    <w:rsid w:val="005F624C"/>
    <w:rsid w:val="006020D1"/>
    <w:rsid w:val="00603C3C"/>
    <w:rsid w:val="00605DCB"/>
    <w:rsid w:val="00605FD5"/>
    <w:rsid w:val="00607038"/>
    <w:rsid w:val="00607A4C"/>
    <w:rsid w:val="00610B62"/>
    <w:rsid w:val="00612813"/>
    <w:rsid w:val="00612957"/>
    <w:rsid w:val="006200C9"/>
    <w:rsid w:val="0062168C"/>
    <w:rsid w:val="00622A4A"/>
    <w:rsid w:val="0062423D"/>
    <w:rsid w:val="006261E0"/>
    <w:rsid w:val="00626EB1"/>
    <w:rsid w:val="006273E9"/>
    <w:rsid w:val="00631615"/>
    <w:rsid w:val="006347CF"/>
    <w:rsid w:val="006358BC"/>
    <w:rsid w:val="0063597E"/>
    <w:rsid w:val="00637A6A"/>
    <w:rsid w:val="006403DC"/>
    <w:rsid w:val="0064064C"/>
    <w:rsid w:val="00640D2F"/>
    <w:rsid w:val="0064101F"/>
    <w:rsid w:val="0064591F"/>
    <w:rsid w:val="0064609C"/>
    <w:rsid w:val="00646C99"/>
    <w:rsid w:val="006501F8"/>
    <w:rsid w:val="00650943"/>
    <w:rsid w:val="006510AB"/>
    <w:rsid w:val="00652651"/>
    <w:rsid w:val="00653A4C"/>
    <w:rsid w:val="00654703"/>
    <w:rsid w:val="00654805"/>
    <w:rsid w:val="00655AD8"/>
    <w:rsid w:val="00657953"/>
    <w:rsid w:val="00657DFF"/>
    <w:rsid w:val="006601D2"/>
    <w:rsid w:val="00670F26"/>
    <w:rsid w:val="006718FB"/>
    <w:rsid w:val="00672278"/>
    <w:rsid w:val="006729CC"/>
    <w:rsid w:val="0067717C"/>
    <w:rsid w:val="00677C59"/>
    <w:rsid w:val="006815E4"/>
    <w:rsid w:val="00681BB7"/>
    <w:rsid w:val="0068534B"/>
    <w:rsid w:val="00685754"/>
    <w:rsid w:val="0068616C"/>
    <w:rsid w:val="006864ED"/>
    <w:rsid w:val="00686721"/>
    <w:rsid w:val="00687594"/>
    <w:rsid w:val="006918BD"/>
    <w:rsid w:val="00692320"/>
    <w:rsid w:val="006926EB"/>
    <w:rsid w:val="00693A5F"/>
    <w:rsid w:val="00693CA7"/>
    <w:rsid w:val="00694694"/>
    <w:rsid w:val="00694BCC"/>
    <w:rsid w:val="00695712"/>
    <w:rsid w:val="00697311"/>
    <w:rsid w:val="00697E58"/>
    <w:rsid w:val="006A18B5"/>
    <w:rsid w:val="006A1EE2"/>
    <w:rsid w:val="006A1F81"/>
    <w:rsid w:val="006A2D23"/>
    <w:rsid w:val="006A2F9D"/>
    <w:rsid w:val="006A37FE"/>
    <w:rsid w:val="006A4F18"/>
    <w:rsid w:val="006A624F"/>
    <w:rsid w:val="006A7EDF"/>
    <w:rsid w:val="006B0E5B"/>
    <w:rsid w:val="006B25DC"/>
    <w:rsid w:val="006B2DFA"/>
    <w:rsid w:val="006B37FA"/>
    <w:rsid w:val="006B423B"/>
    <w:rsid w:val="006B455D"/>
    <w:rsid w:val="006B6052"/>
    <w:rsid w:val="006B6A40"/>
    <w:rsid w:val="006C04BB"/>
    <w:rsid w:val="006C10D1"/>
    <w:rsid w:val="006C265A"/>
    <w:rsid w:val="006C3244"/>
    <w:rsid w:val="006C372E"/>
    <w:rsid w:val="006C64D8"/>
    <w:rsid w:val="006D328F"/>
    <w:rsid w:val="006D3A7F"/>
    <w:rsid w:val="006D597D"/>
    <w:rsid w:val="006D5BED"/>
    <w:rsid w:val="006D66A5"/>
    <w:rsid w:val="006D6C95"/>
    <w:rsid w:val="006E2E1F"/>
    <w:rsid w:val="006E41FA"/>
    <w:rsid w:val="006E5525"/>
    <w:rsid w:val="006E5B54"/>
    <w:rsid w:val="006E5CF2"/>
    <w:rsid w:val="006E6B52"/>
    <w:rsid w:val="006F08DC"/>
    <w:rsid w:val="006F0B90"/>
    <w:rsid w:val="006F11A7"/>
    <w:rsid w:val="006F18DA"/>
    <w:rsid w:val="006F1C67"/>
    <w:rsid w:val="006F2A0C"/>
    <w:rsid w:val="006F2CF6"/>
    <w:rsid w:val="006F7284"/>
    <w:rsid w:val="006F7E2B"/>
    <w:rsid w:val="007003FA"/>
    <w:rsid w:val="007007A7"/>
    <w:rsid w:val="00701456"/>
    <w:rsid w:val="00702845"/>
    <w:rsid w:val="0070393D"/>
    <w:rsid w:val="00704CFF"/>
    <w:rsid w:val="00705353"/>
    <w:rsid w:val="00705C37"/>
    <w:rsid w:val="00707CE9"/>
    <w:rsid w:val="00712525"/>
    <w:rsid w:val="00712E93"/>
    <w:rsid w:val="00715F58"/>
    <w:rsid w:val="00716619"/>
    <w:rsid w:val="007201BB"/>
    <w:rsid w:val="0072392D"/>
    <w:rsid w:val="007264BD"/>
    <w:rsid w:val="0072651B"/>
    <w:rsid w:val="00726D47"/>
    <w:rsid w:val="00727EF8"/>
    <w:rsid w:val="00727F22"/>
    <w:rsid w:val="007325B0"/>
    <w:rsid w:val="00732C6E"/>
    <w:rsid w:val="00733CCC"/>
    <w:rsid w:val="00734930"/>
    <w:rsid w:val="00734AA5"/>
    <w:rsid w:val="00735C88"/>
    <w:rsid w:val="00736321"/>
    <w:rsid w:val="00736EA2"/>
    <w:rsid w:val="00737E05"/>
    <w:rsid w:val="00740397"/>
    <w:rsid w:val="007409BB"/>
    <w:rsid w:val="00740A8C"/>
    <w:rsid w:val="00743E32"/>
    <w:rsid w:val="00744929"/>
    <w:rsid w:val="007452AF"/>
    <w:rsid w:val="007452B1"/>
    <w:rsid w:val="007453BE"/>
    <w:rsid w:val="00745911"/>
    <w:rsid w:val="007474BF"/>
    <w:rsid w:val="00747E19"/>
    <w:rsid w:val="00751FCE"/>
    <w:rsid w:val="00752554"/>
    <w:rsid w:val="0075260F"/>
    <w:rsid w:val="00752623"/>
    <w:rsid w:val="00752A73"/>
    <w:rsid w:val="00754294"/>
    <w:rsid w:val="00755A17"/>
    <w:rsid w:val="0075611F"/>
    <w:rsid w:val="007567B9"/>
    <w:rsid w:val="00756A99"/>
    <w:rsid w:val="00756B4D"/>
    <w:rsid w:val="007574B3"/>
    <w:rsid w:val="00757AEC"/>
    <w:rsid w:val="00761C3D"/>
    <w:rsid w:val="0076513B"/>
    <w:rsid w:val="00765846"/>
    <w:rsid w:val="007722B7"/>
    <w:rsid w:val="00772F13"/>
    <w:rsid w:val="0077331E"/>
    <w:rsid w:val="00776BAE"/>
    <w:rsid w:val="00776E76"/>
    <w:rsid w:val="00777322"/>
    <w:rsid w:val="00777C41"/>
    <w:rsid w:val="00780278"/>
    <w:rsid w:val="0078065A"/>
    <w:rsid w:val="00781BBC"/>
    <w:rsid w:val="0078323D"/>
    <w:rsid w:val="00784737"/>
    <w:rsid w:val="00785B1E"/>
    <w:rsid w:val="00785EAA"/>
    <w:rsid w:val="00786595"/>
    <w:rsid w:val="00791BBF"/>
    <w:rsid w:val="00791C8B"/>
    <w:rsid w:val="00791D3B"/>
    <w:rsid w:val="0079381B"/>
    <w:rsid w:val="00796609"/>
    <w:rsid w:val="00797623"/>
    <w:rsid w:val="007A05E5"/>
    <w:rsid w:val="007A0E23"/>
    <w:rsid w:val="007A1F6B"/>
    <w:rsid w:val="007A2202"/>
    <w:rsid w:val="007A31C1"/>
    <w:rsid w:val="007A56B0"/>
    <w:rsid w:val="007A5A66"/>
    <w:rsid w:val="007A5E03"/>
    <w:rsid w:val="007A718B"/>
    <w:rsid w:val="007B0D07"/>
    <w:rsid w:val="007B2285"/>
    <w:rsid w:val="007B2C52"/>
    <w:rsid w:val="007B4A7E"/>
    <w:rsid w:val="007B4E6F"/>
    <w:rsid w:val="007B551F"/>
    <w:rsid w:val="007B5E76"/>
    <w:rsid w:val="007B65BB"/>
    <w:rsid w:val="007B66F3"/>
    <w:rsid w:val="007C0C59"/>
    <w:rsid w:val="007C0E01"/>
    <w:rsid w:val="007C1471"/>
    <w:rsid w:val="007C256B"/>
    <w:rsid w:val="007C3FE6"/>
    <w:rsid w:val="007C44F5"/>
    <w:rsid w:val="007C4848"/>
    <w:rsid w:val="007D13FB"/>
    <w:rsid w:val="007D2140"/>
    <w:rsid w:val="007D2B93"/>
    <w:rsid w:val="007D38A2"/>
    <w:rsid w:val="007D452E"/>
    <w:rsid w:val="007D5BD8"/>
    <w:rsid w:val="007E1BD2"/>
    <w:rsid w:val="007E242D"/>
    <w:rsid w:val="007E605F"/>
    <w:rsid w:val="007E6D14"/>
    <w:rsid w:val="007F0183"/>
    <w:rsid w:val="007F01DF"/>
    <w:rsid w:val="007F01FE"/>
    <w:rsid w:val="007F17AC"/>
    <w:rsid w:val="007F1F12"/>
    <w:rsid w:val="007F35D8"/>
    <w:rsid w:val="007F462E"/>
    <w:rsid w:val="007F5A4C"/>
    <w:rsid w:val="007F6E96"/>
    <w:rsid w:val="0080204A"/>
    <w:rsid w:val="00803D11"/>
    <w:rsid w:val="0080518E"/>
    <w:rsid w:val="008063B9"/>
    <w:rsid w:val="00806499"/>
    <w:rsid w:val="00806BE7"/>
    <w:rsid w:val="008071B6"/>
    <w:rsid w:val="008101BE"/>
    <w:rsid w:val="00810548"/>
    <w:rsid w:val="008105E2"/>
    <w:rsid w:val="008132EC"/>
    <w:rsid w:val="008137FB"/>
    <w:rsid w:val="00813909"/>
    <w:rsid w:val="00814805"/>
    <w:rsid w:val="00816D29"/>
    <w:rsid w:val="0081794B"/>
    <w:rsid w:val="00817A82"/>
    <w:rsid w:val="0082301E"/>
    <w:rsid w:val="008230DC"/>
    <w:rsid w:val="0082561D"/>
    <w:rsid w:val="008258B5"/>
    <w:rsid w:val="00826405"/>
    <w:rsid w:val="008266D5"/>
    <w:rsid w:val="00826878"/>
    <w:rsid w:val="008300BC"/>
    <w:rsid w:val="00832288"/>
    <w:rsid w:val="00832AEC"/>
    <w:rsid w:val="00835F51"/>
    <w:rsid w:val="00836268"/>
    <w:rsid w:val="00836C1D"/>
    <w:rsid w:val="00837613"/>
    <w:rsid w:val="00837BF7"/>
    <w:rsid w:val="008414CC"/>
    <w:rsid w:val="00842536"/>
    <w:rsid w:val="0084287B"/>
    <w:rsid w:val="00842C26"/>
    <w:rsid w:val="00843637"/>
    <w:rsid w:val="00844E0F"/>
    <w:rsid w:val="008474EC"/>
    <w:rsid w:val="00847B19"/>
    <w:rsid w:val="00847E90"/>
    <w:rsid w:val="0085057B"/>
    <w:rsid w:val="008507DB"/>
    <w:rsid w:val="0085086C"/>
    <w:rsid w:val="0085088F"/>
    <w:rsid w:val="00854DC7"/>
    <w:rsid w:val="00854F89"/>
    <w:rsid w:val="00855AB0"/>
    <w:rsid w:val="008568B9"/>
    <w:rsid w:val="00860845"/>
    <w:rsid w:val="00861EB7"/>
    <w:rsid w:val="00863365"/>
    <w:rsid w:val="00864DBD"/>
    <w:rsid w:val="00864F34"/>
    <w:rsid w:val="0086622E"/>
    <w:rsid w:val="008670BD"/>
    <w:rsid w:val="008728DD"/>
    <w:rsid w:val="00872A85"/>
    <w:rsid w:val="00874A0C"/>
    <w:rsid w:val="00875C79"/>
    <w:rsid w:val="00875CEC"/>
    <w:rsid w:val="00875D18"/>
    <w:rsid w:val="00876681"/>
    <w:rsid w:val="00877A3E"/>
    <w:rsid w:val="00877F74"/>
    <w:rsid w:val="00882623"/>
    <w:rsid w:val="008826FB"/>
    <w:rsid w:val="008835FF"/>
    <w:rsid w:val="00883E82"/>
    <w:rsid w:val="00884524"/>
    <w:rsid w:val="008845B6"/>
    <w:rsid w:val="00884895"/>
    <w:rsid w:val="00885C6E"/>
    <w:rsid w:val="00886351"/>
    <w:rsid w:val="00886472"/>
    <w:rsid w:val="0088676A"/>
    <w:rsid w:val="00887FD0"/>
    <w:rsid w:val="00890ACF"/>
    <w:rsid w:val="00892918"/>
    <w:rsid w:val="0089311F"/>
    <w:rsid w:val="00893FA6"/>
    <w:rsid w:val="00894E5E"/>
    <w:rsid w:val="00896082"/>
    <w:rsid w:val="008A0D11"/>
    <w:rsid w:val="008A19F5"/>
    <w:rsid w:val="008A2395"/>
    <w:rsid w:val="008A28EE"/>
    <w:rsid w:val="008A292B"/>
    <w:rsid w:val="008A2E87"/>
    <w:rsid w:val="008A3842"/>
    <w:rsid w:val="008A5F14"/>
    <w:rsid w:val="008A6C4A"/>
    <w:rsid w:val="008B0E4F"/>
    <w:rsid w:val="008B0F21"/>
    <w:rsid w:val="008B1468"/>
    <w:rsid w:val="008B238B"/>
    <w:rsid w:val="008B676E"/>
    <w:rsid w:val="008B7532"/>
    <w:rsid w:val="008C0475"/>
    <w:rsid w:val="008C04FD"/>
    <w:rsid w:val="008C10EB"/>
    <w:rsid w:val="008C2EDA"/>
    <w:rsid w:val="008C4E38"/>
    <w:rsid w:val="008C587C"/>
    <w:rsid w:val="008C65A9"/>
    <w:rsid w:val="008C6D05"/>
    <w:rsid w:val="008C785F"/>
    <w:rsid w:val="008C7C12"/>
    <w:rsid w:val="008D2549"/>
    <w:rsid w:val="008D5A9E"/>
    <w:rsid w:val="008D7240"/>
    <w:rsid w:val="008E28F6"/>
    <w:rsid w:val="008E6583"/>
    <w:rsid w:val="008E6C3A"/>
    <w:rsid w:val="008F18FD"/>
    <w:rsid w:val="008F35D8"/>
    <w:rsid w:val="008F6F12"/>
    <w:rsid w:val="008F75A8"/>
    <w:rsid w:val="008F797B"/>
    <w:rsid w:val="00900FD4"/>
    <w:rsid w:val="0090140C"/>
    <w:rsid w:val="00905ACD"/>
    <w:rsid w:val="00906E5D"/>
    <w:rsid w:val="00914A69"/>
    <w:rsid w:val="00914AAD"/>
    <w:rsid w:val="0091523C"/>
    <w:rsid w:val="00916E00"/>
    <w:rsid w:val="0091776F"/>
    <w:rsid w:val="00920288"/>
    <w:rsid w:val="00920661"/>
    <w:rsid w:val="00921F62"/>
    <w:rsid w:val="00924D74"/>
    <w:rsid w:val="00924D97"/>
    <w:rsid w:val="0092580B"/>
    <w:rsid w:val="00925D39"/>
    <w:rsid w:val="00926401"/>
    <w:rsid w:val="00926BFC"/>
    <w:rsid w:val="00927EAF"/>
    <w:rsid w:val="00927F93"/>
    <w:rsid w:val="00931524"/>
    <w:rsid w:val="00931B13"/>
    <w:rsid w:val="00931B95"/>
    <w:rsid w:val="00932B39"/>
    <w:rsid w:val="00933FF2"/>
    <w:rsid w:val="00933FF7"/>
    <w:rsid w:val="00935EFB"/>
    <w:rsid w:val="00936905"/>
    <w:rsid w:val="00936F7E"/>
    <w:rsid w:val="0094443A"/>
    <w:rsid w:val="00944A15"/>
    <w:rsid w:val="009450AC"/>
    <w:rsid w:val="00945957"/>
    <w:rsid w:val="00946D5D"/>
    <w:rsid w:val="00947712"/>
    <w:rsid w:val="00950166"/>
    <w:rsid w:val="009510A7"/>
    <w:rsid w:val="00953E38"/>
    <w:rsid w:val="00955F0F"/>
    <w:rsid w:val="00957440"/>
    <w:rsid w:val="00957803"/>
    <w:rsid w:val="00960CA0"/>
    <w:rsid w:val="009610EB"/>
    <w:rsid w:val="00961282"/>
    <w:rsid w:val="00962088"/>
    <w:rsid w:val="009627B8"/>
    <w:rsid w:val="00962E37"/>
    <w:rsid w:val="00963AF8"/>
    <w:rsid w:val="00965366"/>
    <w:rsid w:val="0097165B"/>
    <w:rsid w:val="00972791"/>
    <w:rsid w:val="0097473B"/>
    <w:rsid w:val="00976BA5"/>
    <w:rsid w:val="00977403"/>
    <w:rsid w:val="00977637"/>
    <w:rsid w:val="0098053B"/>
    <w:rsid w:val="00981D05"/>
    <w:rsid w:val="00981D42"/>
    <w:rsid w:val="00982F0E"/>
    <w:rsid w:val="00983A42"/>
    <w:rsid w:val="00983D12"/>
    <w:rsid w:val="0099216B"/>
    <w:rsid w:val="009941D2"/>
    <w:rsid w:val="009942D5"/>
    <w:rsid w:val="00994DE8"/>
    <w:rsid w:val="00995BC0"/>
    <w:rsid w:val="009A025D"/>
    <w:rsid w:val="009A0A44"/>
    <w:rsid w:val="009A1B86"/>
    <w:rsid w:val="009A30AC"/>
    <w:rsid w:val="009A7F91"/>
    <w:rsid w:val="009B116F"/>
    <w:rsid w:val="009B11FF"/>
    <w:rsid w:val="009B43C0"/>
    <w:rsid w:val="009B486D"/>
    <w:rsid w:val="009B4EE5"/>
    <w:rsid w:val="009B5101"/>
    <w:rsid w:val="009C0D16"/>
    <w:rsid w:val="009C1291"/>
    <w:rsid w:val="009C26EC"/>
    <w:rsid w:val="009C3D7B"/>
    <w:rsid w:val="009C4056"/>
    <w:rsid w:val="009C40D3"/>
    <w:rsid w:val="009C6670"/>
    <w:rsid w:val="009C69FC"/>
    <w:rsid w:val="009C78AD"/>
    <w:rsid w:val="009D19C1"/>
    <w:rsid w:val="009D2951"/>
    <w:rsid w:val="009D3129"/>
    <w:rsid w:val="009D35F0"/>
    <w:rsid w:val="009D3C5F"/>
    <w:rsid w:val="009D4AD1"/>
    <w:rsid w:val="009D4B0A"/>
    <w:rsid w:val="009D7025"/>
    <w:rsid w:val="009E23A9"/>
    <w:rsid w:val="009E26AE"/>
    <w:rsid w:val="009E3B50"/>
    <w:rsid w:val="009E5F54"/>
    <w:rsid w:val="009E635C"/>
    <w:rsid w:val="009E7783"/>
    <w:rsid w:val="009F04A7"/>
    <w:rsid w:val="009F12CE"/>
    <w:rsid w:val="009F1D00"/>
    <w:rsid w:val="009F33A6"/>
    <w:rsid w:val="009F386F"/>
    <w:rsid w:val="009F41EC"/>
    <w:rsid w:val="009F4217"/>
    <w:rsid w:val="009F4B09"/>
    <w:rsid w:val="009F5BEC"/>
    <w:rsid w:val="009F5C01"/>
    <w:rsid w:val="00A02519"/>
    <w:rsid w:val="00A043AC"/>
    <w:rsid w:val="00A04D02"/>
    <w:rsid w:val="00A04E39"/>
    <w:rsid w:val="00A05204"/>
    <w:rsid w:val="00A063D8"/>
    <w:rsid w:val="00A068D2"/>
    <w:rsid w:val="00A0734E"/>
    <w:rsid w:val="00A079A7"/>
    <w:rsid w:val="00A11BF1"/>
    <w:rsid w:val="00A1220C"/>
    <w:rsid w:val="00A1261F"/>
    <w:rsid w:val="00A149AF"/>
    <w:rsid w:val="00A15F0B"/>
    <w:rsid w:val="00A16941"/>
    <w:rsid w:val="00A209B7"/>
    <w:rsid w:val="00A230E4"/>
    <w:rsid w:val="00A23468"/>
    <w:rsid w:val="00A23F0B"/>
    <w:rsid w:val="00A2413F"/>
    <w:rsid w:val="00A242D4"/>
    <w:rsid w:val="00A26FBD"/>
    <w:rsid w:val="00A30430"/>
    <w:rsid w:val="00A30F66"/>
    <w:rsid w:val="00A31890"/>
    <w:rsid w:val="00A33306"/>
    <w:rsid w:val="00A3481B"/>
    <w:rsid w:val="00A34973"/>
    <w:rsid w:val="00A352F7"/>
    <w:rsid w:val="00A35383"/>
    <w:rsid w:val="00A36E58"/>
    <w:rsid w:val="00A400EC"/>
    <w:rsid w:val="00A40D83"/>
    <w:rsid w:val="00A42115"/>
    <w:rsid w:val="00A434D2"/>
    <w:rsid w:val="00A43895"/>
    <w:rsid w:val="00A4390F"/>
    <w:rsid w:val="00A44027"/>
    <w:rsid w:val="00A444DC"/>
    <w:rsid w:val="00A44BAF"/>
    <w:rsid w:val="00A452FF"/>
    <w:rsid w:val="00A45D00"/>
    <w:rsid w:val="00A47548"/>
    <w:rsid w:val="00A47ADD"/>
    <w:rsid w:val="00A5008C"/>
    <w:rsid w:val="00A53045"/>
    <w:rsid w:val="00A556F6"/>
    <w:rsid w:val="00A623B4"/>
    <w:rsid w:val="00A625FA"/>
    <w:rsid w:val="00A62669"/>
    <w:rsid w:val="00A63012"/>
    <w:rsid w:val="00A6344B"/>
    <w:rsid w:val="00A65321"/>
    <w:rsid w:val="00A66C84"/>
    <w:rsid w:val="00A67BB1"/>
    <w:rsid w:val="00A71972"/>
    <w:rsid w:val="00A72036"/>
    <w:rsid w:val="00A72801"/>
    <w:rsid w:val="00A72A35"/>
    <w:rsid w:val="00A72E72"/>
    <w:rsid w:val="00A72FD8"/>
    <w:rsid w:val="00A7331A"/>
    <w:rsid w:val="00A7544C"/>
    <w:rsid w:val="00A7577D"/>
    <w:rsid w:val="00A77310"/>
    <w:rsid w:val="00A77D59"/>
    <w:rsid w:val="00A77E7A"/>
    <w:rsid w:val="00A80C59"/>
    <w:rsid w:val="00A80EF8"/>
    <w:rsid w:val="00A81204"/>
    <w:rsid w:val="00A8347F"/>
    <w:rsid w:val="00A83DAE"/>
    <w:rsid w:val="00A853F5"/>
    <w:rsid w:val="00A8563F"/>
    <w:rsid w:val="00A85E97"/>
    <w:rsid w:val="00A86448"/>
    <w:rsid w:val="00A86732"/>
    <w:rsid w:val="00A87903"/>
    <w:rsid w:val="00A90C04"/>
    <w:rsid w:val="00A929BD"/>
    <w:rsid w:val="00A93600"/>
    <w:rsid w:val="00A9485A"/>
    <w:rsid w:val="00A94C51"/>
    <w:rsid w:val="00A95C86"/>
    <w:rsid w:val="00AA16EE"/>
    <w:rsid w:val="00AA315F"/>
    <w:rsid w:val="00AA39A7"/>
    <w:rsid w:val="00AA57D4"/>
    <w:rsid w:val="00AA5C31"/>
    <w:rsid w:val="00AA5E22"/>
    <w:rsid w:val="00AA7FC6"/>
    <w:rsid w:val="00AB1202"/>
    <w:rsid w:val="00AB2033"/>
    <w:rsid w:val="00AB274F"/>
    <w:rsid w:val="00AB3642"/>
    <w:rsid w:val="00AB378A"/>
    <w:rsid w:val="00AB55A2"/>
    <w:rsid w:val="00AB6EF5"/>
    <w:rsid w:val="00AC1AEB"/>
    <w:rsid w:val="00AC2FD5"/>
    <w:rsid w:val="00AC3FC1"/>
    <w:rsid w:val="00AC4744"/>
    <w:rsid w:val="00AC7BFF"/>
    <w:rsid w:val="00AC7D2D"/>
    <w:rsid w:val="00AC7DFB"/>
    <w:rsid w:val="00AD28C5"/>
    <w:rsid w:val="00AD321E"/>
    <w:rsid w:val="00AD5DC2"/>
    <w:rsid w:val="00AD79CC"/>
    <w:rsid w:val="00AD7CC7"/>
    <w:rsid w:val="00AD7CF4"/>
    <w:rsid w:val="00AE0F47"/>
    <w:rsid w:val="00AE109B"/>
    <w:rsid w:val="00AE3559"/>
    <w:rsid w:val="00AE4755"/>
    <w:rsid w:val="00AE4C48"/>
    <w:rsid w:val="00AE555F"/>
    <w:rsid w:val="00AE57BD"/>
    <w:rsid w:val="00AE66D9"/>
    <w:rsid w:val="00AE780D"/>
    <w:rsid w:val="00AF000B"/>
    <w:rsid w:val="00AF0030"/>
    <w:rsid w:val="00AF129A"/>
    <w:rsid w:val="00AF1A4C"/>
    <w:rsid w:val="00AF1DC3"/>
    <w:rsid w:val="00AF616F"/>
    <w:rsid w:val="00B00F06"/>
    <w:rsid w:val="00B03474"/>
    <w:rsid w:val="00B04313"/>
    <w:rsid w:val="00B0730D"/>
    <w:rsid w:val="00B101E7"/>
    <w:rsid w:val="00B106F2"/>
    <w:rsid w:val="00B14598"/>
    <w:rsid w:val="00B15B1C"/>
    <w:rsid w:val="00B16C1C"/>
    <w:rsid w:val="00B273EB"/>
    <w:rsid w:val="00B30A73"/>
    <w:rsid w:val="00B30B3B"/>
    <w:rsid w:val="00B32F60"/>
    <w:rsid w:val="00B36A72"/>
    <w:rsid w:val="00B36AB8"/>
    <w:rsid w:val="00B41340"/>
    <w:rsid w:val="00B447FE"/>
    <w:rsid w:val="00B44E8F"/>
    <w:rsid w:val="00B46204"/>
    <w:rsid w:val="00B465A4"/>
    <w:rsid w:val="00B46E5F"/>
    <w:rsid w:val="00B5313E"/>
    <w:rsid w:val="00B57F20"/>
    <w:rsid w:val="00B60981"/>
    <w:rsid w:val="00B6241B"/>
    <w:rsid w:val="00B62B32"/>
    <w:rsid w:val="00B630A4"/>
    <w:rsid w:val="00B635BE"/>
    <w:rsid w:val="00B66EF6"/>
    <w:rsid w:val="00B67686"/>
    <w:rsid w:val="00B716FB"/>
    <w:rsid w:val="00B716FF"/>
    <w:rsid w:val="00B73255"/>
    <w:rsid w:val="00B73416"/>
    <w:rsid w:val="00B73A1A"/>
    <w:rsid w:val="00B74627"/>
    <w:rsid w:val="00B82956"/>
    <w:rsid w:val="00B82E3A"/>
    <w:rsid w:val="00B8360A"/>
    <w:rsid w:val="00B836EB"/>
    <w:rsid w:val="00B83ADF"/>
    <w:rsid w:val="00B86344"/>
    <w:rsid w:val="00B87655"/>
    <w:rsid w:val="00B87A74"/>
    <w:rsid w:val="00B87B34"/>
    <w:rsid w:val="00B91C84"/>
    <w:rsid w:val="00B926C4"/>
    <w:rsid w:val="00B943F3"/>
    <w:rsid w:val="00BA21C9"/>
    <w:rsid w:val="00BA2BF7"/>
    <w:rsid w:val="00BA615D"/>
    <w:rsid w:val="00BA64D3"/>
    <w:rsid w:val="00BA7F12"/>
    <w:rsid w:val="00BB0F5A"/>
    <w:rsid w:val="00BB1B09"/>
    <w:rsid w:val="00BB2144"/>
    <w:rsid w:val="00BB32B1"/>
    <w:rsid w:val="00BB5B6C"/>
    <w:rsid w:val="00BB5BEB"/>
    <w:rsid w:val="00BB6130"/>
    <w:rsid w:val="00BB68F2"/>
    <w:rsid w:val="00BB7658"/>
    <w:rsid w:val="00BB7FC8"/>
    <w:rsid w:val="00BC0396"/>
    <w:rsid w:val="00BC0B3D"/>
    <w:rsid w:val="00BC0E88"/>
    <w:rsid w:val="00BC16FE"/>
    <w:rsid w:val="00BC2090"/>
    <w:rsid w:val="00BC2C55"/>
    <w:rsid w:val="00BC3954"/>
    <w:rsid w:val="00BC59E6"/>
    <w:rsid w:val="00BC6941"/>
    <w:rsid w:val="00BC6C90"/>
    <w:rsid w:val="00BC754B"/>
    <w:rsid w:val="00BC78C0"/>
    <w:rsid w:val="00BD0042"/>
    <w:rsid w:val="00BD1BDD"/>
    <w:rsid w:val="00BD3C9D"/>
    <w:rsid w:val="00BD43C2"/>
    <w:rsid w:val="00BD548E"/>
    <w:rsid w:val="00BD5827"/>
    <w:rsid w:val="00BE0013"/>
    <w:rsid w:val="00BE3E2D"/>
    <w:rsid w:val="00BE41FA"/>
    <w:rsid w:val="00BE63D4"/>
    <w:rsid w:val="00BE6A54"/>
    <w:rsid w:val="00BF28AC"/>
    <w:rsid w:val="00BF48D0"/>
    <w:rsid w:val="00BF5520"/>
    <w:rsid w:val="00BF6B42"/>
    <w:rsid w:val="00C04242"/>
    <w:rsid w:val="00C04959"/>
    <w:rsid w:val="00C06305"/>
    <w:rsid w:val="00C068F4"/>
    <w:rsid w:val="00C10DB0"/>
    <w:rsid w:val="00C13B0A"/>
    <w:rsid w:val="00C15ABA"/>
    <w:rsid w:val="00C15DED"/>
    <w:rsid w:val="00C16773"/>
    <w:rsid w:val="00C17170"/>
    <w:rsid w:val="00C20469"/>
    <w:rsid w:val="00C22C08"/>
    <w:rsid w:val="00C24A59"/>
    <w:rsid w:val="00C254A3"/>
    <w:rsid w:val="00C259A6"/>
    <w:rsid w:val="00C31210"/>
    <w:rsid w:val="00C322B5"/>
    <w:rsid w:val="00C3389A"/>
    <w:rsid w:val="00C338E7"/>
    <w:rsid w:val="00C3437F"/>
    <w:rsid w:val="00C34DB3"/>
    <w:rsid w:val="00C35FFE"/>
    <w:rsid w:val="00C4081B"/>
    <w:rsid w:val="00C40EEF"/>
    <w:rsid w:val="00C41183"/>
    <w:rsid w:val="00C41EAB"/>
    <w:rsid w:val="00C431AC"/>
    <w:rsid w:val="00C44763"/>
    <w:rsid w:val="00C45DAE"/>
    <w:rsid w:val="00C464B5"/>
    <w:rsid w:val="00C46E33"/>
    <w:rsid w:val="00C5169E"/>
    <w:rsid w:val="00C51E99"/>
    <w:rsid w:val="00C52670"/>
    <w:rsid w:val="00C52719"/>
    <w:rsid w:val="00C53B92"/>
    <w:rsid w:val="00C559D7"/>
    <w:rsid w:val="00C55D29"/>
    <w:rsid w:val="00C56694"/>
    <w:rsid w:val="00C566F2"/>
    <w:rsid w:val="00C61D96"/>
    <w:rsid w:val="00C65605"/>
    <w:rsid w:val="00C659BF"/>
    <w:rsid w:val="00C67344"/>
    <w:rsid w:val="00C7000A"/>
    <w:rsid w:val="00C73A97"/>
    <w:rsid w:val="00C7610F"/>
    <w:rsid w:val="00C7625E"/>
    <w:rsid w:val="00C80990"/>
    <w:rsid w:val="00C82462"/>
    <w:rsid w:val="00C835B8"/>
    <w:rsid w:val="00C84567"/>
    <w:rsid w:val="00C85DB2"/>
    <w:rsid w:val="00C867AC"/>
    <w:rsid w:val="00C90008"/>
    <w:rsid w:val="00C9110D"/>
    <w:rsid w:val="00C9191C"/>
    <w:rsid w:val="00C92DB1"/>
    <w:rsid w:val="00C933C3"/>
    <w:rsid w:val="00C9397C"/>
    <w:rsid w:val="00C9535A"/>
    <w:rsid w:val="00C963BA"/>
    <w:rsid w:val="00C96EB6"/>
    <w:rsid w:val="00CA0247"/>
    <w:rsid w:val="00CA0D6B"/>
    <w:rsid w:val="00CA2484"/>
    <w:rsid w:val="00CA2960"/>
    <w:rsid w:val="00CA46A7"/>
    <w:rsid w:val="00CA46D0"/>
    <w:rsid w:val="00CA6548"/>
    <w:rsid w:val="00CA6AC4"/>
    <w:rsid w:val="00CA6DE1"/>
    <w:rsid w:val="00CB0A0D"/>
    <w:rsid w:val="00CB194F"/>
    <w:rsid w:val="00CB1EBA"/>
    <w:rsid w:val="00CB29D2"/>
    <w:rsid w:val="00CB45B1"/>
    <w:rsid w:val="00CB72CD"/>
    <w:rsid w:val="00CC1AA0"/>
    <w:rsid w:val="00CC3A37"/>
    <w:rsid w:val="00CC48A0"/>
    <w:rsid w:val="00CC5128"/>
    <w:rsid w:val="00CC6E2A"/>
    <w:rsid w:val="00CC7CA3"/>
    <w:rsid w:val="00CD0BDF"/>
    <w:rsid w:val="00CD2EE1"/>
    <w:rsid w:val="00CD3020"/>
    <w:rsid w:val="00CD4905"/>
    <w:rsid w:val="00CD4A26"/>
    <w:rsid w:val="00CD6592"/>
    <w:rsid w:val="00CD65E5"/>
    <w:rsid w:val="00CD6E53"/>
    <w:rsid w:val="00CE0408"/>
    <w:rsid w:val="00CE1231"/>
    <w:rsid w:val="00CE1D01"/>
    <w:rsid w:val="00CE53C0"/>
    <w:rsid w:val="00CE5A3C"/>
    <w:rsid w:val="00CE5AC9"/>
    <w:rsid w:val="00CE72DE"/>
    <w:rsid w:val="00CF063B"/>
    <w:rsid w:val="00CF1276"/>
    <w:rsid w:val="00CF29D6"/>
    <w:rsid w:val="00CF4DBA"/>
    <w:rsid w:val="00CF6203"/>
    <w:rsid w:val="00CF63EF"/>
    <w:rsid w:val="00CF7878"/>
    <w:rsid w:val="00D00DA6"/>
    <w:rsid w:val="00D01EEB"/>
    <w:rsid w:val="00D01F74"/>
    <w:rsid w:val="00D030AE"/>
    <w:rsid w:val="00D0394A"/>
    <w:rsid w:val="00D07802"/>
    <w:rsid w:val="00D1052F"/>
    <w:rsid w:val="00D13B16"/>
    <w:rsid w:val="00D141ED"/>
    <w:rsid w:val="00D148B7"/>
    <w:rsid w:val="00D163C5"/>
    <w:rsid w:val="00D173A3"/>
    <w:rsid w:val="00D208A1"/>
    <w:rsid w:val="00D22BD4"/>
    <w:rsid w:val="00D2446E"/>
    <w:rsid w:val="00D2482A"/>
    <w:rsid w:val="00D24A54"/>
    <w:rsid w:val="00D27640"/>
    <w:rsid w:val="00D27CB5"/>
    <w:rsid w:val="00D32AF2"/>
    <w:rsid w:val="00D337E2"/>
    <w:rsid w:val="00D34279"/>
    <w:rsid w:val="00D36058"/>
    <w:rsid w:val="00D362BA"/>
    <w:rsid w:val="00D36AA2"/>
    <w:rsid w:val="00D36F6C"/>
    <w:rsid w:val="00D37059"/>
    <w:rsid w:val="00D371FD"/>
    <w:rsid w:val="00D37474"/>
    <w:rsid w:val="00D41346"/>
    <w:rsid w:val="00D41AE3"/>
    <w:rsid w:val="00D426E7"/>
    <w:rsid w:val="00D42C11"/>
    <w:rsid w:val="00D42E0E"/>
    <w:rsid w:val="00D463F9"/>
    <w:rsid w:val="00D4680D"/>
    <w:rsid w:val="00D47E06"/>
    <w:rsid w:val="00D47E8F"/>
    <w:rsid w:val="00D50EF0"/>
    <w:rsid w:val="00D5137F"/>
    <w:rsid w:val="00D52AA6"/>
    <w:rsid w:val="00D54ECC"/>
    <w:rsid w:val="00D55DA5"/>
    <w:rsid w:val="00D579F0"/>
    <w:rsid w:val="00D609E2"/>
    <w:rsid w:val="00D6191E"/>
    <w:rsid w:val="00D63627"/>
    <w:rsid w:val="00D65A8A"/>
    <w:rsid w:val="00D666F2"/>
    <w:rsid w:val="00D6703E"/>
    <w:rsid w:val="00D675C4"/>
    <w:rsid w:val="00D67700"/>
    <w:rsid w:val="00D67767"/>
    <w:rsid w:val="00D716A0"/>
    <w:rsid w:val="00D7176D"/>
    <w:rsid w:val="00D71AE2"/>
    <w:rsid w:val="00D71AEE"/>
    <w:rsid w:val="00D72D77"/>
    <w:rsid w:val="00D73087"/>
    <w:rsid w:val="00D73333"/>
    <w:rsid w:val="00D737DD"/>
    <w:rsid w:val="00D7565B"/>
    <w:rsid w:val="00D76A7D"/>
    <w:rsid w:val="00D8136D"/>
    <w:rsid w:val="00D819D9"/>
    <w:rsid w:val="00D81FB2"/>
    <w:rsid w:val="00D82573"/>
    <w:rsid w:val="00D82DB8"/>
    <w:rsid w:val="00D8509E"/>
    <w:rsid w:val="00D85FA2"/>
    <w:rsid w:val="00D86B5B"/>
    <w:rsid w:val="00D90AA1"/>
    <w:rsid w:val="00D918BF"/>
    <w:rsid w:val="00D91D7B"/>
    <w:rsid w:val="00D92DD3"/>
    <w:rsid w:val="00D92FA8"/>
    <w:rsid w:val="00D93FA1"/>
    <w:rsid w:val="00DA0138"/>
    <w:rsid w:val="00DA27AA"/>
    <w:rsid w:val="00DA2828"/>
    <w:rsid w:val="00DA293B"/>
    <w:rsid w:val="00DA2E7A"/>
    <w:rsid w:val="00DA420A"/>
    <w:rsid w:val="00DA484C"/>
    <w:rsid w:val="00DA5621"/>
    <w:rsid w:val="00DA59B0"/>
    <w:rsid w:val="00DA7805"/>
    <w:rsid w:val="00DA7BDD"/>
    <w:rsid w:val="00DA7E86"/>
    <w:rsid w:val="00DB05B4"/>
    <w:rsid w:val="00DB1F0D"/>
    <w:rsid w:val="00DB3343"/>
    <w:rsid w:val="00DB5D09"/>
    <w:rsid w:val="00DC26F4"/>
    <w:rsid w:val="00DC3516"/>
    <w:rsid w:val="00DC6522"/>
    <w:rsid w:val="00DD06C4"/>
    <w:rsid w:val="00DD1209"/>
    <w:rsid w:val="00DD16EC"/>
    <w:rsid w:val="00DD28F0"/>
    <w:rsid w:val="00DD545C"/>
    <w:rsid w:val="00DD5645"/>
    <w:rsid w:val="00DD60CE"/>
    <w:rsid w:val="00DE2E16"/>
    <w:rsid w:val="00DE4379"/>
    <w:rsid w:val="00DE48AF"/>
    <w:rsid w:val="00DE6056"/>
    <w:rsid w:val="00DE61EA"/>
    <w:rsid w:val="00DF6A31"/>
    <w:rsid w:val="00DF6DCD"/>
    <w:rsid w:val="00E019DA"/>
    <w:rsid w:val="00E01AF8"/>
    <w:rsid w:val="00E01CD1"/>
    <w:rsid w:val="00E023AF"/>
    <w:rsid w:val="00E02FCD"/>
    <w:rsid w:val="00E03180"/>
    <w:rsid w:val="00E03452"/>
    <w:rsid w:val="00E034C5"/>
    <w:rsid w:val="00E0357E"/>
    <w:rsid w:val="00E075FE"/>
    <w:rsid w:val="00E11197"/>
    <w:rsid w:val="00E11287"/>
    <w:rsid w:val="00E117F3"/>
    <w:rsid w:val="00E12281"/>
    <w:rsid w:val="00E13BD4"/>
    <w:rsid w:val="00E150B2"/>
    <w:rsid w:val="00E15261"/>
    <w:rsid w:val="00E16A6F"/>
    <w:rsid w:val="00E202EB"/>
    <w:rsid w:val="00E21533"/>
    <w:rsid w:val="00E2205B"/>
    <w:rsid w:val="00E233C3"/>
    <w:rsid w:val="00E24B1C"/>
    <w:rsid w:val="00E25C6E"/>
    <w:rsid w:val="00E265EF"/>
    <w:rsid w:val="00E30724"/>
    <w:rsid w:val="00E309E0"/>
    <w:rsid w:val="00E30E98"/>
    <w:rsid w:val="00E3158A"/>
    <w:rsid w:val="00E317B4"/>
    <w:rsid w:val="00E31A12"/>
    <w:rsid w:val="00E31F81"/>
    <w:rsid w:val="00E33CB2"/>
    <w:rsid w:val="00E3621B"/>
    <w:rsid w:val="00E36963"/>
    <w:rsid w:val="00E437DE"/>
    <w:rsid w:val="00E43F4F"/>
    <w:rsid w:val="00E44F14"/>
    <w:rsid w:val="00E45CE4"/>
    <w:rsid w:val="00E45F4E"/>
    <w:rsid w:val="00E47F61"/>
    <w:rsid w:val="00E500A9"/>
    <w:rsid w:val="00E5031B"/>
    <w:rsid w:val="00E51CA0"/>
    <w:rsid w:val="00E56063"/>
    <w:rsid w:val="00E63533"/>
    <w:rsid w:val="00E64313"/>
    <w:rsid w:val="00E66E52"/>
    <w:rsid w:val="00E702A2"/>
    <w:rsid w:val="00E710EF"/>
    <w:rsid w:val="00E72B3C"/>
    <w:rsid w:val="00E742C0"/>
    <w:rsid w:val="00E756F3"/>
    <w:rsid w:val="00E761B0"/>
    <w:rsid w:val="00E80978"/>
    <w:rsid w:val="00E81B0F"/>
    <w:rsid w:val="00E82420"/>
    <w:rsid w:val="00E840FB"/>
    <w:rsid w:val="00E860FC"/>
    <w:rsid w:val="00E8630B"/>
    <w:rsid w:val="00E87573"/>
    <w:rsid w:val="00E91638"/>
    <w:rsid w:val="00E933CD"/>
    <w:rsid w:val="00E94921"/>
    <w:rsid w:val="00E94D75"/>
    <w:rsid w:val="00E95178"/>
    <w:rsid w:val="00E95C71"/>
    <w:rsid w:val="00E9679D"/>
    <w:rsid w:val="00E9682C"/>
    <w:rsid w:val="00E97F22"/>
    <w:rsid w:val="00EA07FC"/>
    <w:rsid w:val="00EA125C"/>
    <w:rsid w:val="00EA1F1F"/>
    <w:rsid w:val="00EA20E2"/>
    <w:rsid w:val="00EA4B9D"/>
    <w:rsid w:val="00EA78A6"/>
    <w:rsid w:val="00EB180D"/>
    <w:rsid w:val="00EB23E0"/>
    <w:rsid w:val="00EB3DF6"/>
    <w:rsid w:val="00EB5525"/>
    <w:rsid w:val="00EB5F34"/>
    <w:rsid w:val="00EB7990"/>
    <w:rsid w:val="00EB7F18"/>
    <w:rsid w:val="00EC075A"/>
    <w:rsid w:val="00EC1DC0"/>
    <w:rsid w:val="00EC4098"/>
    <w:rsid w:val="00EC49A9"/>
    <w:rsid w:val="00EC5033"/>
    <w:rsid w:val="00EC5742"/>
    <w:rsid w:val="00ED2174"/>
    <w:rsid w:val="00ED3A5E"/>
    <w:rsid w:val="00EE04DA"/>
    <w:rsid w:val="00EE1CAD"/>
    <w:rsid w:val="00EE2736"/>
    <w:rsid w:val="00EE402E"/>
    <w:rsid w:val="00EE4658"/>
    <w:rsid w:val="00EE5855"/>
    <w:rsid w:val="00EE722D"/>
    <w:rsid w:val="00EE787A"/>
    <w:rsid w:val="00EE7CD6"/>
    <w:rsid w:val="00EF0880"/>
    <w:rsid w:val="00EF0E3D"/>
    <w:rsid w:val="00EF2E13"/>
    <w:rsid w:val="00EF476D"/>
    <w:rsid w:val="00EF4D44"/>
    <w:rsid w:val="00EF5004"/>
    <w:rsid w:val="00EF5741"/>
    <w:rsid w:val="00F02AC7"/>
    <w:rsid w:val="00F03ECF"/>
    <w:rsid w:val="00F044B5"/>
    <w:rsid w:val="00F04ADE"/>
    <w:rsid w:val="00F1024A"/>
    <w:rsid w:val="00F11B39"/>
    <w:rsid w:val="00F12110"/>
    <w:rsid w:val="00F1232F"/>
    <w:rsid w:val="00F147E7"/>
    <w:rsid w:val="00F14A1B"/>
    <w:rsid w:val="00F20A4D"/>
    <w:rsid w:val="00F22053"/>
    <w:rsid w:val="00F245B2"/>
    <w:rsid w:val="00F24E60"/>
    <w:rsid w:val="00F25D8B"/>
    <w:rsid w:val="00F26702"/>
    <w:rsid w:val="00F27835"/>
    <w:rsid w:val="00F3026C"/>
    <w:rsid w:val="00F345F4"/>
    <w:rsid w:val="00F3590B"/>
    <w:rsid w:val="00F359DE"/>
    <w:rsid w:val="00F42161"/>
    <w:rsid w:val="00F42996"/>
    <w:rsid w:val="00F42E52"/>
    <w:rsid w:val="00F42F62"/>
    <w:rsid w:val="00F43202"/>
    <w:rsid w:val="00F4346F"/>
    <w:rsid w:val="00F44BFC"/>
    <w:rsid w:val="00F50F2F"/>
    <w:rsid w:val="00F51D1B"/>
    <w:rsid w:val="00F52326"/>
    <w:rsid w:val="00F54D6A"/>
    <w:rsid w:val="00F56713"/>
    <w:rsid w:val="00F57894"/>
    <w:rsid w:val="00F57A73"/>
    <w:rsid w:val="00F57FC7"/>
    <w:rsid w:val="00F639A5"/>
    <w:rsid w:val="00F63CF6"/>
    <w:rsid w:val="00F64355"/>
    <w:rsid w:val="00F64437"/>
    <w:rsid w:val="00F676E1"/>
    <w:rsid w:val="00F679F6"/>
    <w:rsid w:val="00F67ADB"/>
    <w:rsid w:val="00F70BF0"/>
    <w:rsid w:val="00F73183"/>
    <w:rsid w:val="00F73ECA"/>
    <w:rsid w:val="00F8556B"/>
    <w:rsid w:val="00F85D0E"/>
    <w:rsid w:val="00F85E0D"/>
    <w:rsid w:val="00F91496"/>
    <w:rsid w:val="00F91AF3"/>
    <w:rsid w:val="00F92857"/>
    <w:rsid w:val="00F97D27"/>
    <w:rsid w:val="00FA1765"/>
    <w:rsid w:val="00FA1AB8"/>
    <w:rsid w:val="00FA1E90"/>
    <w:rsid w:val="00FA211E"/>
    <w:rsid w:val="00FA41AE"/>
    <w:rsid w:val="00FA5199"/>
    <w:rsid w:val="00FA6C54"/>
    <w:rsid w:val="00FB0271"/>
    <w:rsid w:val="00FB051D"/>
    <w:rsid w:val="00FB13BD"/>
    <w:rsid w:val="00FB3C96"/>
    <w:rsid w:val="00FB3D25"/>
    <w:rsid w:val="00FB46FD"/>
    <w:rsid w:val="00FB5512"/>
    <w:rsid w:val="00FB71D7"/>
    <w:rsid w:val="00FC1DF5"/>
    <w:rsid w:val="00FC42E8"/>
    <w:rsid w:val="00FC4B5F"/>
    <w:rsid w:val="00FC5CE3"/>
    <w:rsid w:val="00FC79A1"/>
    <w:rsid w:val="00FD10E0"/>
    <w:rsid w:val="00FD34F9"/>
    <w:rsid w:val="00FD3543"/>
    <w:rsid w:val="00FD36B3"/>
    <w:rsid w:val="00FD398E"/>
    <w:rsid w:val="00FD438E"/>
    <w:rsid w:val="00FD4FF6"/>
    <w:rsid w:val="00FD64DA"/>
    <w:rsid w:val="00FD6A1E"/>
    <w:rsid w:val="00FD7A69"/>
    <w:rsid w:val="00FD7BAA"/>
    <w:rsid w:val="00FE039B"/>
    <w:rsid w:val="00FE2323"/>
    <w:rsid w:val="00FE2888"/>
    <w:rsid w:val="00FE2D95"/>
    <w:rsid w:val="00FE306F"/>
    <w:rsid w:val="00FE4175"/>
    <w:rsid w:val="00FE60A3"/>
    <w:rsid w:val="00FE6D68"/>
    <w:rsid w:val="00FE7A84"/>
    <w:rsid w:val="00FF422D"/>
    <w:rsid w:val="00FF5448"/>
    <w:rsid w:val="00FF6502"/>
    <w:rsid w:val="00FF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colormenu v:ext="edit" strokecolor="none"/>
    </o:shapedefaults>
    <o:shapelayout v:ext="edit">
      <o:idmap v:ext="edit" data="1"/>
    </o:shapelayout>
  </w:shapeDefaults>
  <w:decimalSymbol w:val="."/>
  <w:listSeparator w:val=","/>
  <w14:docId w14:val="7C9AEF01"/>
  <w15:docId w15:val="{B622AAFD-2F40-4FAF-8A6D-FE60CA5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9F"/>
    <w:rPr>
      <w:rFonts w:ascii="Arial" w:hAnsi="Arial"/>
      <w:sz w:val="24"/>
    </w:rPr>
  </w:style>
  <w:style w:type="paragraph" w:styleId="Heading2">
    <w:name w:val="heading 2"/>
    <w:basedOn w:val="Normal"/>
    <w:next w:val="Normal"/>
    <w:link w:val="Heading2Char"/>
    <w:uiPriority w:val="9"/>
    <w:unhideWhenUsed/>
    <w:qFormat/>
    <w:rsid w:val="002A3B51"/>
    <w:pPr>
      <w:autoSpaceDE w:val="0"/>
      <w:autoSpaceDN w:val="0"/>
      <w:adjustRightInd w:val="0"/>
      <w:spacing w:after="0" w:line="240" w:lineRule="auto"/>
      <w:jc w:val="both"/>
      <w:outlineLvl w:val="1"/>
    </w:pPr>
    <w:rPr>
      <w:rFonts w:ascii="Lucida Sans" w:eastAsia="Times New Roman" w:hAnsi="Lucida Sans" w:cs="Tahoma"/>
      <w:b/>
      <w:szCs w:val="20"/>
      <w:lang w:eastAsia="en-GB"/>
    </w:rPr>
  </w:style>
  <w:style w:type="paragraph" w:styleId="Heading3">
    <w:name w:val="heading 3"/>
    <w:basedOn w:val="Normal"/>
    <w:next w:val="Normal"/>
    <w:link w:val="Heading3Char"/>
    <w:uiPriority w:val="9"/>
    <w:unhideWhenUsed/>
    <w:qFormat/>
    <w:rsid w:val="000D4D9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10"/>
    <w:rPr>
      <w:rFonts w:ascii="Tahoma" w:hAnsi="Tahoma" w:cs="Tahoma"/>
      <w:sz w:val="16"/>
      <w:szCs w:val="16"/>
    </w:rPr>
  </w:style>
  <w:style w:type="paragraph" w:styleId="ListParagraph">
    <w:name w:val="List Paragraph"/>
    <w:basedOn w:val="Normal"/>
    <w:uiPriority w:val="34"/>
    <w:qFormat/>
    <w:rsid w:val="005A1D10"/>
    <w:pPr>
      <w:ind w:left="720"/>
      <w:contextualSpacing/>
    </w:pPr>
  </w:style>
  <w:style w:type="paragraph" w:styleId="Header">
    <w:name w:val="header"/>
    <w:basedOn w:val="Normal"/>
    <w:link w:val="HeaderChar"/>
    <w:uiPriority w:val="99"/>
    <w:unhideWhenUsed/>
    <w:rsid w:val="00212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26"/>
    <w:rPr>
      <w:rFonts w:ascii="Arial" w:hAnsi="Arial"/>
      <w:sz w:val="24"/>
    </w:rPr>
  </w:style>
  <w:style w:type="paragraph" w:styleId="Footer">
    <w:name w:val="footer"/>
    <w:basedOn w:val="Normal"/>
    <w:link w:val="FooterChar"/>
    <w:uiPriority w:val="99"/>
    <w:unhideWhenUsed/>
    <w:rsid w:val="00212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E26"/>
    <w:rPr>
      <w:rFonts w:ascii="Arial" w:hAnsi="Arial"/>
      <w:sz w:val="24"/>
    </w:rPr>
  </w:style>
  <w:style w:type="table" w:styleId="TableGrid">
    <w:name w:val="Table Grid"/>
    <w:basedOn w:val="TableNormal"/>
    <w:rsid w:val="00F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3B51"/>
    <w:rPr>
      <w:rFonts w:ascii="Lucida Sans" w:eastAsia="Times New Roman" w:hAnsi="Lucida Sans" w:cs="Tahoma"/>
      <w:b/>
      <w:sz w:val="24"/>
      <w:szCs w:val="20"/>
      <w:lang w:eastAsia="en-GB"/>
    </w:rPr>
  </w:style>
  <w:style w:type="paragraph" w:customStyle="1" w:styleId="BodyText1">
    <w:name w:val="Body Text 1"/>
    <w:basedOn w:val="Normal"/>
    <w:link w:val="BodyText1Char"/>
    <w:qFormat/>
    <w:rsid w:val="002A3B51"/>
    <w:pPr>
      <w:spacing w:before="60" w:after="120" w:line="240" w:lineRule="auto"/>
    </w:pPr>
    <w:rPr>
      <w:rFonts w:eastAsia="Cambria" w:cs="Times New Roman"/>
      <w:color w:val="000000"/>
      <w:szCs w:val="28"/>
    </w:rPr>
  </w:style>
  <w:style w:type="character" w:customStyle="1" w:styleId="BodyText1Char">
    <w:name w:val="Body Text 1 Char"/>
    <w:basedOn w:val="DefaultParagraphFont"/>
    <w:link w:val="BodyText1"/>
    <w:rsid w:val="002A3B51"/>
    <w:rPr>
      <w:rFonts w:ascii="Arial" w:eastAsia="Cambria" w:hAnsi="Arial" w:cs="Times New Roman"/>
      <w:color w:val="000000"/>
      <w:sz w:val="24"/>
      <w:szCs w:val="28"/>
    </w:rPr>
  </w:style>
  <w:style w:type="paragraph" w:customStyle="1" w:styleId="Default">
    <w:name w:val="Default"/>
    <w:rsid w:val="002A3B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rsid w:val="000D4D9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D4D95"/>
    <w:pPr>
      <w:spacing w:after="288" w:line="255" w:lineRule="atLeast"/>
    </w:pPr>
    <w:rPr>
      <w:rFonts w:ascii="Times New Roman" w:eastAsia="Times New Roman" w:hAnsi="Times New Roman" w:cs="Times New Roman"/>
      <w:szCs w:val="24"/>
      <w:lang w:eastAsia="en-GB"/>
    </w:rPr>
  </w:style>
  <w:style w:type="paragraph" w:customStyle="1" w:styleId="font8">
    <w:name w:val="font_8"/>
    <w:basedOn w:val="Normal"/>
    <w:rsid w:val="00FA51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lor14">
    <w:name w:val="color_14"/>
    <w:basedOn w:val="DefaultParagraphFont"/>
    <w:rsid w:val="00FA5199"/>
  </w:style>
  <w:style w:type="character" w:customStyle="1" w:styleId="A0">
    <w:name w:val="A0"/>
    <w:uiPriority w:val="99"/>
    <w:rsid w:val="00982F0E"/>
    <w:rPr>
      <w:rFonts w:ascii="Verdana" w:hAnsi="Verdana" w:cs="Verdana"/>
      <w:color w:val="000000"/>
      <w:sz w:val="20"/>
      <w:szCs w:val="20"/>
    </w:rPr>
  </w:style>
  <w:style w:type="character" w:styleId="Hyperlink">
    <w:name w:val="Hyperlink"/>
    <w:basedOn w:val="DefaultParagraphFont"/>
    <w:uiPriority w:val="99"/>
    <w:unhideWhenUsed/>
    <w:rsid w:val="00CC6E2A"/>
    <w:rPr>
      <w:color w:val="0000FF" w:themeColor="hyperlink"/>
      <w:u w:val="single"/>
    </w:rPr>
  </w:style>
  <w:style w:type="character" w:styleId="FollowedHyperlink">
    <w:name w:val="FollowedHyperlink"/>
    <w:basedOn w:val="DefaultParagraphFont"/>
    <w:uiPriority w:val="99"/>
    <w:semiHidden/>
    <w:unhideWhenUsed/>
    <w:rsid w:val="00CC6E2A"/>
    <w:rPr>
      <w:color w:val="800080" w:themeColor="followedHyperlink"/>
      <w:u w:val="single"/>
    </w:rPr>
  </w:style>
  <w:style w:type="character" w:styleId="Emphasis">
    <w:name w:val="Emphasis"/>
    <w:basedOn w:val="DefaultParagraphFont"/>
    <w:uiPriority w:val="20"/>
    <w:qFormat/>
    <w:rsid w:val="00F3590B"/>
    <w:rPr>
      <w:i/>
      <w:iCs/>
    </w:rPr>
  </w:style>
  <w:style w:type="character" w:styleId="CommentReference">
    <w:name w:val="annotation reference"/>
    <w:basedOn w:val="DefaultParagraphFont"/>
    <w:uiPriority w:val="99"/>
    <w:semiHidden/>
    <w:unhideWhenUsed/>
    <w:rsid w:val="00933FF2"/>
    <w:rPr>
      <w:sz w:val="16"/>
      <w:szCs w:val="16"/>
    </w:rPr>
  </w:style>
  <w:style w:type="paragraph" w:styleId="CommentText">
    <w:name w:val="annotation text"/>
    <w:basedOn w:val="Normal"/>
    <w:link w:val="CommentTextChar"/>
    <w:uiPriority w:val="99"/>
    <w:semiHidden/>
    <w:unhideWhenUsed/>
    <w:rsid w:val="00933FF2"/>
    <w:pPr>
      <w:spacing w:line="240" w:lineRule="auto"/>
    </w:pPr>
    <w:rPr>
      <w:sz w:val="20"/>
      <w:szCs w:val="20"/>
    </w:rPr>
  </w:style>
  <w:style w:type="character" w:customStyle="1" w:styleId="CommentTextChar">
    <w:name w:val="Comment Text Char"/>
    <w:basedOn w:val="DefaultParagraphFont"/>
    <w:link w:val="CommentText"/>
    <w:uiPriority w:val="99"/>
    <w:semiHidden/>
    <w:rsid w:val="00933F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3FF2"/>
    <w:rPr>
      <w:b/>
      <w:bCs/>
    </w:rPr>
  </w:style>
  <w:style w:type="character" w:customStyle="1" w:styleId="CommentSubjectChar">
    <w:name w:val="Comment Subject Char"/>
    <w:basedOn w:val="CommentTextChar"/>
    <w:link w:val="CommentSubject"/>
    <w:uiPriority w:val="99"/>
    <w:semiHidden/>
    <w:rsid w:val="00933FF2"/>
    <w:rPr>
      <w:rFonts w:ascii="Arial" w:hAnsi="Arial"/>
      <w:b/>
      <w:bCs/>
      <w:sz w:val="20"/>
      <w:szCs w:val="20"/>
    </w:rPr>
  </w:style>
  <w:style w:type="character" w:styleId="Strong">
    <w:name w:val="Strong"/>
    <w:basedOn w:val="DefaultParagraphFont"/>
    <w:uiPriority w:val="22"/>
    <w:qFormat/>
    <w:rsid w:val="00A83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04">
      <w:bodyDiv w:val="1"/>
      <w:marLeft w:val="0"/>
      <w:marRight w:val="0"/>
      <w:marTop w:val="0"/>
      <w:marBottom w:val="0"/>
      <w:divBdr>
        <w:top w:val="none" w:sz="0" w:space="0" w:color="auto"/>
        <w:left w:val="none" w:sz="0" w:space="0" w:color="auto"/>
        <w:bottom w:val="none" w:sz="0" w:space="0" w:color="auto"/>
        <w:right w:val="none" w:sz="0" w:space="0" w:color="auto"/>
      </w:divBdr>
    </w:div>
    <w:div w:id="983133">
      <w:bodyDiv w:val="1"/>
      <w:marLeft w:val="0"/>
      <w:marRight w:val="0"/>
      <w:marTop w:val="0"/>
      <w:marBottom w:val="0"/>
      <w:divBdr>
        <w:top w:val="none" w:sz="0" w:space="0" w:color="auto"/>
        <w:left w:val="none" w:sz="0" w:space="0" w:color="auto"/>
        <w:bottom w:val="none" w:sz="0" w:space="0" w:color="auto"/>
        <w:right w:val="none" w:sz="0" w:space="0" w:color="auto"/>
      </w:divBdr>
    </w:div>
    <w:div w:id="53705271">
      <w:bodyDiv w:val="1"/>
      <w:marLeft w:val="0"/>
      <w:marRight w:val="0"/>
      <w:marTop w:val="0"/>
      <w:marBottom w:val="0"/>
      <w:divBdr>
        <w:top w:val="none" w:sz="0" w:space="0" w:color="auto"/>
        <w:left w:val="none" w:sz="0" w:space="0" w:color="auto"/>
        <w:bottom w:val="none" w:sz="0" w:space="0" w:color="auto"/>
        <w:right w:val="none" w:sz="0" w:space="0" w:color="auto"/>
      </w:divBdr>
    </w:div>
    <w:div w:id="104471372">
      <w:bodyDiv w:val="1"/>
      <w:marLeft w:val="0"/>
      <w:marRight w:val="0"/>
      <w:marTop w:val="0"/>
      <w:marBottom w:val="0"/>
      <w:divBdr>
        <w:top w:val="none" w:sz="0" w:space="0" w:color="auto"/>
        <w:left w:val="none" w:sz="0" w:space="0" w:color="auto"/>
        <w:bottom w:val="none" w:sz="0" w:space="0" w:color="auto"/>
        <w:right w:val="none" w:sz="0" w:space="0" w:color="auto"/>
      </w:divBdr>
      <w:divsChild>
        <w:div w:id="1763843014">
          <w:marLeft w:val="547"/>
          <w:marRight w:val="0"/>
          <w:marTop w:val="154"/>
          <w:marBottom w:val="0"/>
          <w:divBdr>
            <w:top w:val="none" w:sz="0" w:space="0" w:color="auto"/>
            <w:left w:val="none" w:sz="0" w:space="0" w:color="auto"/>
            <w:bottom w:val="none" w:sz="0" w:space="0" w:color="auto"/>
            <w:right w:val="none" w:sz="0" w:space="0" w:color="auto"/>
          </w:divBdr>
        </w:div>
        <w:div w:id="945624883">
          <w:marLeft w:val="547"/>
          <w:marRight w:val="0"/>
          <w:marTop w:val="154"/>
          <w:marBottom w:val="0"/>
          <w:divBdr>
            <w:top w:val="none" w:sz="0" w:space="0" w:color="auto"/>
            <w:left w:val="none" w:sz="0" w:space="0" w:color="auto"/>
            <w:bottom w:val="none" w:sz="0" w:space="0" w:color="auto"/>
            <w:right w:val="none" w:sz="0" w:space="0" w:color="auto"/>
          </w:divBdr>
        </w:div>
        <w:div w:id="637077811">
          <w:marLeft w:val="547"/>
          <w:marRight w:val="0"/>
          <w:marTop w:val="154"/>
          <w:marBottom w:val="0"/>
          <w:divBdr>
            <w:top w:val="none" w:sz="0" w:space="0" w:color="auto"/>
            <w:left w:val="none" w:sz="0" w:space="0" w:color="auto"/>
            <w:bottom w:val="none" w:sz="0" w:space="0" w:color="auto"/>
            <w:right w:val="none" w:sz="0" w:space="0" w:color="auto"/>
          </w:divBdr>
        </w:div>
        <w:div w:id="2033794900">
          <w:marLeft w:val="547"/>
          <w:marRight w:val="0"/>
          <w:marTop w:val="154"/>
          <w:marBottom w:val="0"/>
          <w:divBdr>
            <w:top w:val="none" w:sz="0" w:space="0" w:color="auto"/>
            <w:left w:val="none" w:sz="0" w:space="0" w:color="auto"/>
            <w:bottom w:val="none" w:sz="0" w:space="0" w:color="auto"/>
            <w:right w:val="none" w:sz="0" w:space="0" w:color="auto"/>
          </w:divBdr>
        </w:div>
      </w:divsChild>
    </w:div>
    <w:div w:id="122578202">
      <w:bodyDiv w:val="1"/>
      <w:marLeft w:val="0"/>
      <w:marRight w:val="0"/>
      <w:marTop w:val="0"/>
      <w:marBottom w:val="0"/>
      <w:divBdr>
        <w:top w:val="none" w:sz="0" w:space="0" w:color="auto"/>
        <w:left w:val="none" w:sz="0" w:space="0" w:color="auto"/>
        <w:bottom w:val="none" w:sz="0" w:space="0" w:color="auto"/>
        <w:right w:val="none" w:sz="0" w:space="0" w:color="auto"/>
      </w:divBdr>
    </w:div>
    <w:div w:id="215239142">
      <w:bodyDiv w:val="1"/>
      <w:marLeft w:val="0"/>
      <w:marRight w:val="0"/>
      <w:marTop w:val="0"/>
      <w:marBottom w:val="0"/>
      <w:divBdr>
        <w:top w:val="none" w:sz="0" w:space="0" w:color="auto"/>
        <w:left w:val="none" w:sz="0" w:space="0" w:color="auto"/>
        <w:bottom w:val="none" w:sz="0" w:space="0" w:color="auto"/>
        <w:right w:val="none" w:sz="0" w:space="0" w:color="auto"/>
      </w:divBdr>
    </w:div>
    <w:div w:id="334306219">
      <w:bodyDiv w:val="1"/>
      <w:marLeft w:val="0"/>
      <w:marRight w:val="0"/>
      <w:marTop w:val="0"/>
      <w:marBottom w:val="0"/>
      <w:divBdr>
        <w:top w:val="none" w:sz="0" w:space="0" w:color="auto"/>
        <w:left w:val="none" w:sz="0" w:space="0" w:color="auto"/>
        <w:bottom w:val="none" w:sz="0" w:space="0" w:color="auto"/>
        <w:right w:val="none" w:sz="0" w:space="0" w:color="auto"/>
      </w:divBdr>
    </w:div>
    <w:div w:id="384642371">
      <w:bodyDiv w:val="1"/>
      <w:marLeft w:val="0"/>
      <w:marRight w:val="0"/>
      <w:marTop w:val="0"/>
      <w:marBottom w:val="0"/>
      <w:divBdr>
        <w:top w:val="none" w:sz="0" w:space="0" w:color="auto"/>
        <w:left w:val="none" w:sz="0" w:space="0" w:color="auto"/>
        <w:bottom w:val="none" w:sz="0" w:space="0" w:color="auto"/>
        <w:right w:val="none" w:sz="0" w:space="0" w:color="auto"/>
      </w:divBdr>
    </w:div>
    <w:div w:id="408163271">
      <w:bodyDiv w:val="1"/>
      <w:marLeft w:val="0"/>
      <w:marRight w:val="0"/>
      <w:marTop w:val="0"/>
      <w:marBottom w:val="0"/>
      <w:divBdr>
        <w:top w:val="none" w:sz="0" w:space="0" w:color="auto"/>
        <w:left w:val="none" w:sz="0" w:space="0" w:color="auto"/>
        <w:bottom w:val="none" w:sz="0" w:space="0" w:color="auto"/>
        <w:right w:val="none" w:sz="0" w:space="0" w:color="auto"/>
      </w:divBdr>
    </w:div>
    <w:div w:id="518156898">
      <w:bodyDiv w:val="1"/>
      <w:marLeft w:val="0"/>
      <w:marRight w:val="0"/>
      <w:marTop w:val="0"/>
      <w:marBottom w:val="0"/>
      <w:divBdr>
        <w:top w:val="none" w:sz="0" w:space="0" w:color="auto"/>
        <w:left w:val="none" w:sz="0" w:space="0" w:color="auto"/>
        <w:bottom w:val="none" w:sz="0" w:space="0" w:color="auto"/>
        <w:right w:val="none" w:sz="0" w:space="0" w:color="auto"/>
      </w:divBdr>
    </w:div>
    <w:div w:id="582760925">
      <w:bodyDiv w:val="1"/>
      <w:marLeft w:val="0"/>
      <w:marRight w:val="0"/>
      <w:marTop w:val="0"/>
      <w:marBottom w:val="0"/>
      <w:divBdr>
        <w:top w:val="none" w:sz="0" w:space="0" w:color="auto"/>
        <w:left w:val="none" w:sz="0" w:space="0" w:color="auto"/>
        <w:bottom w:val="none" w:sz="0" w:space="0" w:color="auto"/>
        <w:right w:val="none" w:sz="0" w:space="0" w:color="auto"/>
      </w:divBdr>
    </w:div>
    <w:div w:id="625351479">
      <w:bodyDiv w:val="1"/>
      <w:marLeft w:val="0"/>
      <w:marRight w:val="0"/>
      <w:marTop w:val="0"/>
      <w:marBottom w:val="0"/>
      <w:divBdr>
        <w:top w:val="none" w:sz="0" w:space="0" w:color="auto"/>
        <w:left w:val="none" w:sz="0" w:space="0" w:color="auto"/>
        <w:bottom w:val="none" w:sz="0" w:space="0" w:color="auto"/>
        <w:right w:val="none" w:sz="0" w:space="0" w:color="auto"/>
      </w:divBdr>
      <w:divsChild>
        <w:div w:id="1657418149">
          <w:marLeft w:val="0"/>
          <w:marRight w:val="0"/>
          <w:marTop w:val="0"/>
          <w:marBottom w:val="0"/>
          <w:divBdr>
            <w:top w:val="none" w:sz="0" w:space="0" w:color="auto"/>
            <w:left w:val="none" w:sz="0" w:space="0" w:color="auto"/>
            <w:bottom w:val="none" w:sz="0" w:space="0" w:color="auto"/>
            <w:right w:val="none" w:sz="0" w:space="0" w:color="auto"/>
          </w:divBdr>
          <w:divsChild>
            <w:div w:id="2026177075">
              <w:marLeft w:val="0"/>
              <w:marRight w:val="0"/>
              <w:marTop w:val="0"/>
              <w:marBottom w:val="0"/>
              <w:divBdr>
                <w:top w:val="none" w:sz="0" w:space="0" w:color="auto"/>
                <w:left w:val="none" w:sz="0" w:space="0" w:color="auto"/>
                <w:bottom w:val="none" w:sz="0" w:space="0" w:color="auto"/>
                <w:right w:val="none" w:sz="0" w:space="0" w:color="auto"/>
              </w:divBdr>
              <w:divsChild>
                <w:div w:id="1883902677">
                  <w:marLeft w:val="0"/>
                  <w:marRight w:val="0"/>
                  <w:marTop w:val="0"/>
                  <w:marBottom w:val="0"/>
                  <w:divBdr>
                    <w:top w:val="none" w:sz="0" w:space="0" w:color="auto"/>
                    <w:left w:val="none" w:sz="0" w:space="0" w:color="auto"/>
                    <w:bottom w:val="none" w:sz="0" w:space="0" w:color="auto"/>
                    <w:right w:val="none" w:sz="0" w:space="0" w:color="auto"/>
                  </w:divBdr>
                  <w:divsChild>
                    <w:div w:id="1442340053">
                      <w:marLeft w:val="0"/>
                      <w:marRight w:val="0"/>
                      <w:marTop w:val="0"/>
                      <w:marBottom w:val="0"/>
                      <w:divBdr>
                        <w:top w:val="none" w:sz="0" w:space="0" w:color="auto"/>
                        <w:left w:val="none" w:sz="0" w:space="0" w:color="auto"/>
                        <w:bottom w:val="none" w:sz="0" w:space="0" w:color="auto"/>
                        <w:right w:val="none" w:sz="0" w:space="0" w:color="auto"/>
                      </w:divBdr>
                      <w:divsChild>
                        <w:div w:id="1481997463">
                          <w:marLeft w:val="0"/>
                          <w:marRight w:val="0"/>
                          <w:marTop w:val="0"/>
                          <w:marBottom w:val="0"/>
                          <w:divBdr>
                            <w:top w:val="none" w:sz="0" w:space="0" w:color="auto"/>
                            <w:left w:val="none" w:sz="0" w:space="0" w:color="auto"/>
                            <w:bottom w:val="none" w:sz="0" w:space="0" w:color="auto"/>
                            <w:right w:val="none" w:sz="0" w:space="0" w:color="auto"/>
                          </w:divBdr>
                          <w:divsChild>
                            <w:div w:id="1023870825">
                              <w:marLeft w:val="0"/>
                              <w:marRight w:val="0"/>
                              <w:marTop w:val="0"/>
                              <w:marBottom w:val="0"/>
                              <w:divBdr>
                                <w:top w:val="none" w:sz="0" w:space="0" w:color="auto"/>
                                <w:left w:val="none" w:sz="0" w:space="0" w:color="auto"/>
                                <w:bottom w:val="none" w:sz="0" w:space="0" w:color="auto"/>
                                <w:right w:val="none" w:sz="0" w:space="0" w:color="auto"/>
                              </w:divBdr>
                              <w:divsChild>
                                <w:div w:id="1006861319">
                                  <w:marLeft w:val="0"/>
                                  <w:marRight w:val="0"/>
                                  <w:marTop w:val="0"/>
                                  <w:marBottom w:val="0"/>
                                  <w:divBdr>
                                    <w:top w:val="none" w:sz="0" w:space="0" w:color="auto"/>
                                    <w:left w:val="none" w:sz="0" w:space="0" w:color="auto"/>
                                    <w:bottom w:val="none" w:sz="0" w:space="0" w:color="auto"/>
                                    <w:right w:val="none" w:sz="0" w:space="0" w:color="auto"/>
                                  </w:divBdr>
                                  <w:divsChild>
                                    <w:div w:id="6251755">
                                      <w:marLeft w:val="0"/>
                                      <w:marRight w:val="0"/>
                                      <w:marTop w:val="0"/>
                                      <w:marBottom w:val="0"/>
                                      <w:divBdr>
                                        <w:top w:val="none" w:sz="0" w:space="0" w:color="auto"/>
                                        <w:left w:val="none" w:sz="0" w:space="0" w:color="auto"/>
                                        <w:bottom w:val="none" w:sz="0" w:space="0" w:color="auto"/>
                                        <w:right w:val="none" w:sz="0" w:space="0" w:color="auto"/>
                                      </w:divBdr>
                                      <w:divsChild>
                                        <w:div w:id="323092743">
                                          <w:marLeft w:val="0"/>
                                          <w:marRight w:val="0"/>
                                          <w:marTop w:val="0"/>
                                          <w:marBottom w:val="0"/>
                                          <w:divBdr>
                                            <w:top w:val="none" w:sz="0" w:space="0" w:color="auto"/>
                                            <w:left w:val="none" w:sz="0" w:space="0" w:color="auto"/>
                                            <w:bottom w:val="none" w:sz="0" w:space="0" w:color="auto"/>
                                            <w:right w:val="none" w:sz="0" w:space="0" w:color="auto"/>
                                          </w:divBdr>
                                          <w:divsChild>
                                            <w:div w:id="1974215993">
                                              <w:marLeft w:val="0"/>
                                              <w:marRight w:val="0"/>
                                              <w:marTop w:val="0"/>
                                              <w:marBottom w:val="0"/>
                                              <w:divBdr>
                                                <w:top w:val="none" w:sz="0" w:space="0" w:color="auto"/>
                                                <w:left w:val="none" w:sz="0" w:space="0" w:color="auto"/>
                                                <w:bottom w:val="none" w:sz="0" w:space="0" w:color="auto"/>
                                                <w:right w:val="none" w:sz="0" w:space="0" w:color="auto"/>
                                              </w:divBdr>
                                              <w:divsChild>
                                                <w:div w:id="1174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69940">
      <w:bodyDiv w:val="1"/>
      <w:marLeft w:val="0"/>
      <w:marRight w:val="0"/>
      <w:marTop w:val="0"/>
      <w:marBottom w:val="0"/>
      <w:divBdr>
        <w:top w:val="none" w:sz="0" w:space="0" w:color="auto"/>
        <w:left w:val="none" w:sz="0" w:space="0" w:color="auto"/>
        <w:bottom w:val="none" w:sz="0" w:space="0" w:color="auto"/>
        <w:right w:val="none" w:sz="0" w:space="0" w:color="auto"/>
      </w:divBdr>
    </w:div>
    <w:div w:id="744381487">
      <w:bodyDiv w:val="1"/>
      <w:marLeft w:val="0"/>
      <w:marRight w:val="0"/>
      <w:marTop w:val="0"/>
      <w:marBottom w:val="0"/>
      <w:divBdr>
        <w:top w:val="none" w:sz="0" w:space="0" w:color="auto"/>
        <w:left w:val="none" w:sz="0" w:space="0" w:color="auto"/>
        <w:bottom w:val="none" w:sz="0" w:space="0" w:color="auto"/>
        <w:right w:val="none" w:sz="0" w:space="0" w:color="auto"/>
      </w:divBdr>
      <w:divsChild>
        <w:div w:id="1249578843">
          <w:marLeft w:val="0"/>
          <w:marRight w:val="0"/>
          <w:marTop w:val="0"/>
          <w:marBottom w:val="0"/>
          <w:divBdr>
            <w:top w:val="none" w:sz="0" w:space="0" w:color="auto"/>
            <w:left w:val="none" w:sz="0" w:space="0" w:color="auto"/>
            <w:bottom w:val="none" w:sz="0" w:space="0" w:color="auto"/>
            <w:right w:val="none" w:sz="0" w:space="0" w:color="auto"/>
          </w:divBdr>
          <w:divsChild>
            <w:div w:id="1220291242">
              <w:marLeft w:val="-300"/>
              <w:marRight w:val="0"/>
              <w:marTop w:val="0"/>
              <w:marBottom w:val="0"/>
              <w:divBdr>
                <w:top w:val="none" w:sz="0" w:space="0" w:color="auto"/>
                <w:left w:val="none" w:sz="0" w:space="0" w:color="auto"/>
                <w:bottom w:val="none" w:sz="0" w:space="0" w:color="auto"/>
                <w:right w:val="none" w:sz="0" w:space="0" w:color="auto"/>
              </w:divBdr>
              <w:divsChild>
                <w:div w:id="1786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6824">
      <w:bodyDiv w:val="1"/>
      <w:marLeft w:val="0"/>
      <w:marRight w:val="0"/>
      <w:marTop w:val="0"/>
      <w:marBottom w:val="0"/>
      <w:divBdr>
        <w:top w:val="none" w:sz="0" w:space="0" w:color="auto"/>
        <w:left w:val="none" w:sz="0" w:space="0" w:color="auto"/>
        <w:bottom w:val="none" w:sz="0" w:space="0" w:color="auto"/>
        <w:right w:val="none" w:sz="0" w:space="0" w:color="auto"/>
      </w:divBdr>
    </w:div>
    <w:div w:id="768934364">
      <w:bodyDiv w:val="1"/>
      <w:marLeft w:val="0"/>
      <w:marRight w:val="0"/>
      <w:marTop w:val="0"/>
      <w:marBottom w:val="0"/>
      <w:divBdr>
        <w:top w:val="none" w:sz="0" w:space="0" w:color="auto"/>
        <w:left w:val="none" w:sz="0" w:space="0" w:color="auto"/>
        <w:bottom w:val="none" w:sz="0" w:space="0" w:color="auto"/>
        <w:right w:val="none" w:sz="0" w:space="0" w:color="auto"/>
      </w:divBdr>
    </w:div>
    <w:div w:id="789544918">
      <w:bodyDiv w:val="1"/>
      <w:marLeft w:val="0"/>
      <w:marRight w:val="0"/>
      <w:marTop w:val="0"/>
      <w:marBottom w:val="0"/>
      <w:divBdr>
        <w:top w:val="none" w:sz="0" w:space="0" w:color="auto"/>
        <w:left w:val="none" w:sz="0" w:space="0" w:color="auto"/>
        <w:bottom w:val="none" w:sz="0" w:space="0" w:color="auto"/>
        <w:right w:val="none" w:sz="0" w:space="0" w:color="auto"/>
      </w:divBdr>
    </w:div>
    <w:div w:id="825632652">
      <w:bodyDiv w:val="1"/>
      <w:marLeft w:val="0"/>
      <w:marRight w:val="0"/>
      <w:marTop w:val="0"/>
      <w:marBottom w:val="0"/>
      <w:divBdr>
        <w:top w:val="none" w:sz="0" w:space="0" w:color="auto"/>
        <w:left w:val="none" w:sz="0" w:space="0" w:color="auto"/>
        <w:bottom w:val="none" w:sz="0" w:space="0" w:color="auto"/>
        <w:right w:val="none" w:sz="0" w:space="0" w:color="auto"/>
      </w:divBdr>
    </w:div>
    <w:div w:id="1034814086">
      <w:bodyDiv w:val="1"/>
      <w:marLeft w:val="0"/>
      <w:marRight w:val="0"/>
      <w:marTop w:val="0"/>
      <w:marBottom w:val="0"/>
      <w:divBdr>
        <w:top w:val="none" w:sz="0" w:space="0" w:color="auto"/>
        <w:left w:val="none" w:sz="0" w:space="0" w:color="auto"/>
        <w:bottom w:val="none" w:sz="0" w:space="0" w:color="auto"/>
        <w:right w:val="none" w:sz="0" w:space="0" w:color="auto"/>
      </w:divBdr>
    </w:div>
    <w:div w:id="1146700890">
      <w:bodyDiv w:val="1"/>
      <w:marLeft w:val="0"/>
      <w:marRight w:val="0"/>
      <w:marTop w:val="0"/>
      <w:marBottom w:val="0"/>
      <w:divBdr>
        <w:top w:val="none" w:sz="0" w:space="0" w:color="auto"/>
        <w:left w:val="none" w:sz="0" w:space="0" w:color="auto"/>
        <w:bottom w:val="none" w:sz="0" w:space="0" w:color="auto"/>
        <w:right w:val="none" w:sz="0" w:space="0" w:color="auto"/>
      </w:divBdr>
    </w:div>
    <w:div w:id="1157109466">
      <w:bodyDiv w:val="1"/>
      <w:marLeft w:val="0"/>
      <w:marRight w:val="0"/>
      <w:marTop w:val="0"/>
      <w:marBottom w:val="0"/>
      <w:divBdr>
        <w:top w:val="none" w:sz="0" w:space="0" w:color="auto"/>
        <w:left w:val="none" w:sz="0" w:space="0" w:color="auto"/>
        <w:bottom w:val="none" w:sz="0" w:space="0" w:color="auto"/>
        <w:right w:val="none" w:sz="0" w:space="0" w:color="auto"/>
      </w:divBdr>
    </w:div>
    <w:div w:id="1183084466">
      <w:bodyDiv w:val="1"/>
      <w:marLeft w:val="0"/>
      <w:marRight w:val="0"/>
      <w:marTop w:val="0"/>
      <w:marBottom w:val="0"/>
      <w:divBdr>
        <w:top w:val="none" w:sz="0" w:space="0" w:color="auto"/>
        <w:left w:val="none" w:sz="0" w:space="0" w:color="auto"/>
        <w:bottom w:val="none" w:sz="0" w:space="0" w:color="auto"/>
        <w:right w:val="none" w:sz="0" w:space="0" w:color="auto"/>
      </w:divBdr>
    </w:div>
    <w:div w:id="1298953705">
      <w:bodyDiv w:val="1"/>
      <w:marLeft w:val="0"/>
      <w:marRight w:val="0"/>
      <w:marTop w:val="0"/>
      <w:marBottom w:val="0"/>
      <w:divBdr>
        <w:top w:val="none" w:sz="0" w:space="0" w:color="auto"/>
        <w:left w:val="none" w:sz="0" w:space="0" w:color="auto"/>
        <w:bottom w:val="none" w:sz="0" w:space="0" w:color="auto"/>
        <w:right w:val="none" w:sz="0" w:space="0" w:color="auto"/>
      </w:divBdr>
    </w:div>
    <w:div w:id="1422723338">
      <w:bodyDiv w:val="1"/>
      <w:marLeft w:val="0"/>
      <w:marRight w:val="0"/>
      <w:marTop w:val="0"/>
      <w:marBottom w:val="0"/>
      <w:divBdr>
        <w:top w:val="none" w:sz="0" w:space="0" w:color="auto"/>
        <w:left w:val="none" w:sz="0" w:space="0" w:color="auto"/>
        <w:bottom w:val="none" w:sz="0" w:space="0" w:color="auto"/>
        <w:right w:val="none" w:sz="0" w:space="0" w:color="auto"/>
      </w:divBdr>
    </w:div>
    <w:div w:id="1431002754">
      <w:bodyDiv w:val="1"/>
      <w:marLeft w:val="0"/>
      <w:marRight w:val="0"/>
      <w:marTop w:val="0"/>
      <w:marBottom w:val="0"/>
      <w:divBdr>
        <w:top w:val="none" w:sz="0" w:space="0" w:color="auto"/>
        <w:left w:val="none" w:sz="0" w:space="0" w:color="auto"/>
        <w:bottom w:val="none" w:sz="0" w:space="0" w:color="auto"/>
        <w:right w:val="none" w:sz="0" w:space="0" w:color="auto"/>
      </w:divBdr>
    </w:div>
    <w:div w:id="1448305996">
      <w:bodyDiv w:val="1"/>
      <w:marLeft w:val="0"/>
      <w:marRight w:val="0"/>
      <w:marTop w:val="0"/>
      <w:marBottom w:val="0"/>
      <w:divBdr>
        <w:top w:val="none" w:sz="0" w:space="0" w:color="auto"/>
        <w:left w:val="none" w:sz="0" w:space="0" w:color="auto"/>
        <w:bottom w:val="none" w:sz="0" w:space="0" w:color="auto"/>
        <w:right w:val="none" w:sz="0" w:space="0" w:color="auto"/>
      </w:divBdr>
    </w:div>
    <w:div w:id="1498809407">
      <w:bodyDiv w:val="1"/>
      <w:marLeft w:val="0"/>
      <w:marRight w:val="0"/>
      <w:marTop w:val="0"/>
      <w:marBottom w:val="0"/>
      <w:divBdr>
        <w:top w:val="none" w:sz="0" w:space="0" w:color="auto"/>
        <w:left w:val="none" w:sz="0" w:space="0" w:color="auto"/>
        <w:bottom w:val="none" w:sz="0" w:space="0" w:color="auto"/>
        <w:right w:val="none" w:sz="0" w:space="0" w:color="auto"/>
      </w:divBdr>
    </w:div>
    <w:div w:id="1545676408">
      <w:bodyDiv w:val="1"/>
      <w:marLeft w:val="0"/>
      <w:marRight w:val="0"/>
      <w:marTop w:val="0"/>
      <w:marBottom w:val="0"/>
      <w:divBdr>
        <w:top w:val="none" w:sz="0" w:space="0" w:color="auto"/>
        <w:left w:val="none" w:sz="0" w:space="0" w:color="auto"/>
        <w:bottom w:val="none" w:sz="0" w:space="0" w:color="auto"/>
        <w:right w:val="none" w:sz="0" w:space="0" w:color="auto"/>
      </w:divBdr>
    </w:div>
    <w:div w:id="1639920843">
      <w:bodyDiv w:val="1"/>
      <w:marLeft w:val="0"/>
      <w:marRight w:val="0"/>
      <w:marTop w:val="0"/>
      <w:marBottom w:val="0"/>
      <w:divBdr>
        <w:top w:val="none" w:sz="0" w:space="0" w:color="auto"/>
        <w:left w:val="none" w:sz="0" w:space="0" w:color="auto"/>
        <w:bottom w:val="none" w:sz="0" w:space="0" w:color="auto"/>
        <w:right w:val="none" w:sz="0" w:space="0" w:color="auto"/>
      </w:divBdr>
      <w:divsChild>
        <w:div w:id="155539475">
          <w:marLeft w:val="0"/>
          <w:marRight w:val="0"/>
          <w:marTop w:val="0"/>
          <w:marBottom w:val="0"/>
          <w:divBdr>
            <w:top w:val="none" w:sz="0" w:space="0" w:color="auto"/>
            <w:left w:val="none" w:sz="0" w:space="0" w:color="auto"/>
            <w:bottom w:val="none" w:sz="0" w:space="0" w:color="auto"/>
            <w:right w:val="none" w:sz="0" w:space="0" w:color="auto"/>
          </w:divBdr>
          <w:divsChild>
            <w:div w:id="1571966568">
              <w:marLeft w:val="0"/>
              <w:marRight w:val="0"/>
              <w:marTop w:val="0"/>
              <w:marBottom w:val="0"/>
              <w:divBdr>
                <w:top w:val="none" w:sz="0" w:space="0" w:color="auto"/>
                <w:left w:val="none" w:sz="0" w:space="0" w:color="auto"/>
                <w:bottom w:val="none" w:sz="0" w:space="0" w:color="auto"/>
                <w:right w:val="none" w:sz="0" w:space="0" w:color="auto"/>
              </w:divBdr>
              <w:divsChild>
                <w:div w:id="506139411">
                  <w:marLeft w:val="0"/>
                  <w:marRight w:val="0"/>
                  <w:marTop w:val="0"/>
                  <w:marBottom w:val="0"/>
                  <w:divBdr>
                    <w:top w:val="none" w:sz="0" w:space="0" w:color="auto"/>
                    <w:left w:val="none" w:sz="0" w:space="0" w:color="auto"/>
                    <w:bottom w:val="none" w:sz="0" w:space="0" w:color="auto"/>
                    <w:right w:val="none" w:sz="0" w:space="0" w:color="auto"/>
                  </w:divBdr>
                  <w:divsChild>
                    <w:div w:id="742338788">
                      <w:marLeft w:val="0"/>
                      <w:marRight w:val="0"/>
                      <w:marTop w:val="0"/>
                      <w:marBottom w:val="0"/>
                      <w:divBdr>
                        <w:top w:val="none" w:sz="0" w:space="0" w:color="auto"/>
                        <w:left w:val="none" w:sz="0" w:space="0" w:color="auto"/>
                        <w:bottom w:val="none" w:sz="0" w:space="0" w:color="auto"/>
                        <w:right w:val="none" w:sz="0" w:space="0" w:color="auto"/>
                      </w:divBdr>
                      <w:divsChild>
                        <w:div w:id="614411245">
                          <w:marLeft w:val="0"/>
                          <w:marRight w:val="0"/>
                          <w:marTop w:val="0"/>
                          <w:marBottom w:val="0"/>
                          <w:divBdr>
                            <w:top w:val="none" w:sz="0" w:space="0" w:color="auto"/>
                            <w:left w:val="none" w:sz="0" w:space="0" w:color="auto"/>
                            <w:bottom w:val="none" w:sz="0" w:space="0" w:color="auto"/>
                            <w:right w:val="none" w:sz="0" w:space="0" w:color="auto"/>
                          </w:divBdr>
                          <w:divsChild>
                            <w:div w:id="3519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23958">
      <w:bodyDiv w:val="1"/>
      <w:marLeft w:val="0"/>
      <w:marRight w:val="0"/>
      <w:marTop w:val="0"/>
      <w:marBottom w:val="0"/>
      <w:divBdr>
        <w:top w:val="none" w:sz="0" w:space="0" w:color="auto"/>
        <w:left w:val="none" w:sz="0" w:space="0" w:color="auto"/>
        <w:bottom w:val="none" w:sz="0" w:space="0" w:color="auto"/>
        <w:right w:val="none" w:sz="0" w:space="0" w:color="auto"/>
      </w:divBdr>
    </w:div>
    <w:div w:id="1821774762">
      <w:bodyDiv w:val="1"/>
      <w:marLeft w:val="0"/>
      <w:marRight w:val="0"/>
      <w:marTop w:val="0"/>
      <w:marBottom w:val="0"/>
      <w:divBdr>
        <w:top w:val="none" w:sz="0" w:space="0" w:color="auto"/>
        <w:left w:val="none" w:sz="0" w:space="0" w:color="auto"/>
        <w:bottom w:val="none" w:sz="0" w:space="0" w:color="auto"/>
        <w:right w:val="none" w:sz="0" w:space="0" w:color="auto"/>
      </w:divBdr>
    </w:div>
    <w:div w:id="2111702281">
      <w:bodyDiv w:val="1"/>
      <w:marLeft w:val="0"/>
      <w:marRight w:val="0"/>
      <w:marTop w:val="0"/>
      <w:marBottom w:val="0"/>
      <w:divBdr>
        <w:top w:val="none" w:sz="0" w:space="0" w:color="auto"/>
        <w:left w:val="none" w:sz="0" w:space="0" w:color="auto"/>
        <w:bottom w:val="none" w:sz="0" w:space="0" w:color="auto"/>
        <w:right w:val="none" w:sz="0" w:space="0" w:color="auto"/>
      </w:divBdr>
    </w:div>
    <w:div w:id="2123377781">
      <w:bodyDiv w:val="1"/>
      <w:marLeft w:val="0"/>
      <w:marRight w:val="0"/>
      <w:marTop w:val="0"/>
      <w:marBottom w:val="0"/>
      <w:divBdr>
        <w:top w:val="none" w:sz="0" w:space="0" w:color="auto"/>
        <w:left w:val="none" w:sz="0" w:space="0" w:color="auto"/>
        <w:bottom w:val="none" w:sz="0" w:space="0" w:color="auto"/>
        <w:right w:val="none" w:sz="0" w:space="0" w:color="auto"/>
      </w:divBdr>
    </w:div>
    <w:div w:id="2138791701">
      <w:bodyDiv w:val="1"/>
      <w:marLeft w:val="0"/>
      <w:marRight w:val="0"/>
      <w:marTop w:val="0"/>
      <w:marBottom w:val="0"/>
      <w:divBdr>
        <w:top w:val="none" w:sz="0" w:space="0" w:color="auto"/>
        <w:left w:val="none" w:sz="0" w:space="0" w:color="auto"/>
        <w:bottom w:val="none" w:sz="0" w:space="0" w:color="auto"/>
        <w:right w:val="none" w:sz="0" w:space="0" w:color="auto"/>
      </w:divBdr>
      <w:divsChild>
        <w:div w:id="954557570">
          <w:marLeft w:val="0"/>
          <w:marRight w:val="0"/>
          <w:marTop w:val="0"/>
          <w:marBottom w:val="0"/>
          <w:divBdr>
            <w:top w:val="none" w:sz="0" w:space="0" w:color="auto"/>
            <w:left w:val="none" w:sz="0" w:space="0" w:color="auto"/>
            <w:bottom w:val="none" w:sz="0" w:space="0" w:color="auto"/>
            <w:right w:val="none" w:sz="0" w:space="0" w:color="auto"/>
          </w:divBdr>
          <w:divsChild>
            <w:div w:id="119810553">
              <w:marLeft w:val="0"/>
              <w:marRight w:val="0"/>
              <w:marTop w:val="0"/>
              <w:marBottom w:val="0"/>
              <w:divBdr>
                <w:top w:val="none" w:sz="0" w:space="0" w:color="auto"/>
                <w:left w:val="none" w:sz="0" w:space="0" w:color="auto"/>
                <w:bottom w:val="none" w:sz="0" w:space="0" w:color="auto"/>
                <w:right w:val="none" w:sz="0" w:space="0" w:color="auto"/>
              </w:divBdr>
              <w:divsChild>
                <w:div w:id="778372643">
                  <w:marLeft w:val="0"/>
                  <w:marRight w:val="0"/>
                  <w:marTop w:val="0"/>
                  <w:marBottom w:val="0"/>
                  <w:divBdr>
                    <w:top w:val="none" w:sz="0" w:space="0" w:color="auto"/>
                    <w:left w:val="none" w:sz="0" w:space="0" w:color="auto"/>
                    <w:bottom w:val="none" w:sz="0" w:space="0" w:color="auto"/>
                    <w:right w:val="none" w:sz="0" w:space="0" w:color="auto"/>
                  </w:divBdr>
                  <w:divsChild>
                    <w:div w:id="1861044434">
                      <w:marLeft w:val="0"/>
                      <w:marRight w:val="0"/>
                      <w:marTop w:val="0"/>
                      <w:marBottom w:val="0"/>
                      <w:divBdr>
                        <w:top w:val="none" w:sz="0" w:space="0" w:color="auto"/>
                        <w:left w:val="none" w:sz="0" w:space="0" w:color="auto"/>
                        <w:bottom w:val="none" w:sz="0" w:space="0" w:color="auto"/>
                        <w:right w:val="none" w:sz="0" w:space="0" w:color="auto"/>
                      </w:divBdr>
                      <w:divsChild>
                        <w:div w:id="756362486">
                          <w:marLeft w:val="0"/>
                          <w:marRight w:val="0"/>
                          <w:marTop w:val="0"/>
                          <w:marBottom w:val="0"/>
                          <w:divBdr>
                            <w:top w:val="none" w:sz="0" w:space="0" w:color="auto"/>
                            <w:left w:val="none" w:sz="0" w:space="0" w:color="auto"/>
                            <w:bottom w:val="none" w:sz="0" w:space="0" w:color="auto"/>
                            <w:right w:val="none" w:sz="0" w:space="0" w:color="auto"/>
                          </w:divBdr>
                          <w:divsChild>
                            <w:div w:id="330106021">
                              <w:marLeft w:val="0"/>
                              <w:marRight w:val="0"/>
                              <w:marTop w:val="0"/>
                              <w:marBottom w:val="0"/>
                              <w:divBdr>
                                <w:top w:val="none" w:sz="0" w:space="0" w:color="auto"/>
                                <w:left w:val="none" w:sz="0" w:space="0" w:color="auto"/>
                                <w:bottom w:val="none" w:sz="0" w:space="0" w:color="auto"/>
                                <w:right w:val="none" w:sz="0" w:space="0" w:color="auto"/>
                              </w:divBdr>
                              <w:divsChild>
                                <w:div w:id="465590669">
                                  <w:marLeft w:val="0"/>
                                  <w:marRight w:val="0"/>
                                  <w:marTop w:val="0"/>
                                  <w:marBottom w:val="0"/>
                                  <w:divBdr>
                                    <w:top w:val="none" w:sz="0" w:space="0" w:color="auto"/>
                                    <w:left w:val="none" w:sz="0" w:space="0" w:color="auto"/>
                                    <w:bottom w:val="none" w:sz="0" w:space="0" w:color="auto"/>
                                    <w:right w:val="none" w:sz="0" w:space="0" w:color="auto"/>
                                  </w:divBdr>
                                  <w:divsChild>
                                    <w:div w:id="254171516">
                                      <w:marLeft w:val="0"/>
                                      <w:marRight w:val="0"/>
                                      <w:marTop w:val="0"/>
                                      <w:marBottom w:val="0"/>
                                      <w:divBdr>
                                        <w:top w:val="none" w:sz="0" w:space="0" w:color="auto"/>
                                        <w:left w:val="none" w:sz="0" w:space="0" w:color="auto"/>
                                        <w:bottom w:val="none" w:sz="0" w:space="0" w:color="auto"/>
                                        <w:right w:val="none" w:sz="0" w:space="0" w:color="auto"/>
                                      </w:divBdr>
                                      <w:divsChild>
                                        <w:div w:id="1026978814">
                                          <w:marLeft w:val="0"/>
                                          <w:marRight w:val="0"/>
                                          <w:marTop w:val="0"/>
                                          <w:marBottom w:val="0"/>
                                          <w:divBdr>
                                            <w:top w:val="none" w:sz="0" w:space="0" w:color="auto"/>
                                            <w:left w:val="none" w:sz="0" w:space="0" w:color="auto"/>
                                            <w:bottom w:val="none" w:sz="0" w:space="0" w:color="auto"/>
                                            <w:right w:val="none" w:sz="0" w:space="0" w:color="auto"/>
                                          </w:divBdr>
                                          <w:divsChild>
                                            <w:div w:id="1940672723">
                                              <w:marLeft w:val="0"/>
                                              <w:marRight w:val="0"/>
                                              <w:marTop w:val="0"/>
                                              <w:marBottom w:val="0"/>
                                              <w:divBdr>
                                                <w:top w:val="none" w:sz="0" w:space="0" w:color="auto"/>
                                                <w:left w:val="none" w:sz="0" w:space="0" w:color="auto"/>
                                                <w:bottom w:val="none" w:sz="0" w:space="0" w:color="auto"/>
                                                <w:right w:val="none" w:sz="0" w:space="0" w:color="auto"/>
                                              </w:divBdr>
                                              <w:divsChild>
                                                <w:div w:id="8580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hire.gov.uk/council/strategies-policies-plans/roads-parking-and-travel/highway-asset-management-in-lancashire/codes-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ouncil/strategies-policies-plans/roads-parking-and-travel/highway-asset-management-in-lancashire/strategies/transport-asset-management-pla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9FEA-8C2D-47F2-BCD6-BEBCD2E9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pmayes001</dc:creator>
  <cp:lastModifiedBy>Postlethwaite, Keith</cp:lastModifiedBy>
  <cp:revision>2</cp:revision>
  <cp:lastPrinted>2019-10-10T13:02:00Z</cp:lastPrinted>
  <dcterms:created xsi:type="dcterms:W3CDTF">2021-05-10T05:05:00Z</dcterms:created>
  <dcterms:modified xsi:type="dcterms:W3CDTF">2021-05-10T05:05:00Z</dcterms:modified>
</cp:coreProperties>
</file>